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A2EE4" w14:textId="7B020E3B" w:rsidR="00914CF9" w:rsidRDefault="002342BA" w:rsidP="002342BA">
      <w:pPr>
        <w:jc w:val="center"/>
        <w:rPr>
          <w:rFonts w:ascii="微软雅黑" w:eastAsia="微软雅黑" w:hAnsi="微软雅黑"/>
          <w:b/>
          <w:bCs/>
          <w:color w:val="FF0000"/>
          <w:shd w:val="pct15" w:color="auto" w:fill="FFFFFF"/>
        </w:rPr>
      </w:pPr>
      <w:r>
        <w:rPr>
          <w:rFonts w:ascii="微软雅黑" w:eastAsia="微软雅黑" w:hAnsi="微软雅黑" w:hint="eastAsia"/>
          <w:color w:val="1966A7"/>
          <w:sz w:val="36"/>
          <w:szCs w:val="36"/>
        </w:rPr>
        <w:t>关于印发新冠病毒核酸10合1混采检测技术规范的通知</w:t>
      </w:r>
    </w:p>
    <w:p w14:paraId="617078F5" w14:textId="32DD3A74" w:rsidR="002342BA" w:rsidRDefault="002342BA" w:rsidP="003B3336">
      <w:pPr>
        <w:rPr>
          <w:rFonts w:ascii="微软雅黑" w:eastAsia="微软雅黑" w:hAnsi="微软雅黑"/>
          <w:b/>
          <w:bCs/>
          <w:color w:val="FF0000"/>
          <w:shd w:val="pct15" w:color="auto" w:fill="FFFFFF"/>
        </w:rPr>
      </w:pPr>
    </w:p>
    <w:p w14:paraId="30FD64B0" w14:textId="7B1B0DD3" w:rsidR="00DF4662" w:rsidRDefault="00DF4662" w:rsidP="00DF4662">
      <w:pPr>
        <w:pStyle w:val="a7"/>
        <w:spacing w:before="0" w:beforeAutospacing="0" w:after="0" w:afterAutospacing="0"/>
        <w:jc w:val="center"/>
        <w:rPr>
          <w:rFonts w:ascii="仿宋" w:eastAsia="仿宋" w:hAnsi="仿宋"/>
          <w:color w:val="484848"/>
          <w:sz w:val="32"/>
          <w:szCs w:val="32"/>
        </w:rPr>
      </w:pPr>
      <w:r>
        <w:rPr>
          <w:rFonts w:ascii="仿宋" w:eastAsia="仿宋" w:hAnsi="仿宋" w:hint="eastAsia"/>
          <w:color w:val="484848"/>
          <w:sz w:val="32"/>
          <w:szCs w:val="32"/>
        </w:rPr>
        <w:t>联防联控机制医疗发〔2020〕352号</w:t>
      </w:r>
    </w:p>
    <w:p w14:paraId="040C8144" w14:textId="59702D36" w:rsidR="00DF4662" w:rsidRDefault="00DF4662" w:rsidP="00DF4662">
      <w:pPr>
        <w:pStyle w:val="a7"/>
        <w:spacing w:before="0" w:beforeAutospacing="0" w:after="0" w:afterAutospacing="0"/>
        <w:jc w:val="both"/>
        <w:rPr>
          <w:rFonts w:ascii="仿宋" w:eastAsia="仿宋" w:hAnsi="仿宋"/>
          <w:color w:val="484848"/>
          <w:sz w:val="32"/>
          <w:szCs w:val="32"/>
        </w:rPr>
      </w:pPr>
    </w:p>
    <w:p w14:paraId="1F6E5816" w14:textId="77777777" w:rsidR="00357AAF" w:rsidRDefault="00DF4662" w:rsidP="00DF4662">
      <w:pPr>
        <w:pStyle w:val="a7"/>
        <w:spacing w:before="0" w:beforeAutospacing="0" w:after="0" w:afterAutospacing="0"/>
        <w:jc w:val="both"/>
        <w:rPr>
          <w:rFonts w:ascii="仿宋" w:eastAsia="仿宋" w:hAnsi="仿宋"/>
          <w:color w:val="484848"/>
          <w:sz w:val="32"/>
          <w:szCs w:val="32"/>
        </w:rPr>
      </w:pPr>
      <w:r>
        <w:rPr>
          <w:rFonts w:ascii="仿宋" w:eastAsia="仿宋" w:hAnsi="仿宋" w:hint="eastAsia"/>
          <w:color w:val="484848"/>
          <w:sz w:val="32"/>
          <w:szCs w:val="32"/>
        </w:rPr>
        <w:t>各省、自治区、直辖市及新疆生产建设兵团应对新冠肺炎疫情联防联控机制（领导小组、指挥部）：</w:t>
      </w:r>
    </w:p>
    <w:p w14:paraId="6EC7D28F" w14:textId="1E940F0D" w:rsidR="00DF4662" w:rsidRDefault="00DF4662" w:rsidP="00357AAF">
      <w:pPr>
        <w:pStyle w:val="a7"/>
        <w:spacing w:before="0" w:beforeAutospacing="0" w:after="0" w:afterAutospacing="0"/>
        <w:ind w:firstLineChars="200" w:firstLine="640"/>
        <w:jc w:val="both"/>
        <w:rPr>
          <w:rFonts w:ascii="仿宋" w:eastAsia="仿宋" w:hAnsi="仿宋"/>
          <w:color w:val="484848"/>
          <w:sz w:val="32"/>
          <w:szCs w:val="32"/>
        </w:rPr>
      </w:pPr>
      <w:r>
        <w:rPr>
          <w:rFonts w:ascii="仿宋" w:eastAsia="仿宋" w:hAnsi="仿宋" w:hint="eastAsia"/>
          <w:color w:val="484848"/>
          <w:sz w:val="32"/>
          <w:szCs w:val="32"/>
        </w:rPr>
        <w:t>为指导各地做好新冠病毒混采检测工作，进一步提升新冠病毒核酸检测能力和效率，落实“四早”要求，有效满足疫情常态化防控需求，我们组织制定了《新冠病毒核酸10合1混采检测技术规范》。现印发给你们，供参考使用。</w:t>
      </w:r>
    </w:p>
    <w:p w14:paraId="416C26C6" w14:textId="1178ACA0" w:rsidR="00DF4662" w:rsidRDefault="00DF4662" w:rsidP="00DF4662">
      <w:pPr>
        <w:pStyle w:val="a7"/>
        <w:spacing w:before="0" w:beforeAutospacing="0" w:after="0" w:afterAutospacing="0"/>
        <w:jc w:val="both"/>
        <w:rPr>
          <w:rFonts w:ascii="仿宋" w:eastAsia="仿宋" w:hAnsi="仿宋"/>
          <w:color w:val="484848"/>
          <w:sz w:val="32"/>
          <w:szCs w:val="32"/>
        </w:rPr>
      </w:pPr>
    </w:p>
    <w:p w14:paraId="5D8325DA" w14:textId="0B501116" w:rsidR="00357AAF" w:rsidRDefault="00357AAF" w:rsidP="00DF4662">
      <w:pPr>
        <w:pStyle w:val="a7"/>
        <w:spacing w:before="0" w:beforeAutospacing="0" w:after="0" w:afterAutospacing="0"/>
        <w:jc w:val="both"/>
        <w:rPr>
          <w:rFonts w:ascii="仿宋" w:eastAsia="仿宋" w:hAnsi="仿宋"/>
          <w:color w:val="484848"/>
          <w:sz w:val="32"/>
          <w:szCs w:val="32"/>
        </w:rPr>
      </w:pPr>
    </w:p>
    <w:p w14:paraId="19AC3A42" w14:textId="77777777" w:rsidR="00357AAF" w:rsidRDefault="00357AAF" w:rsidP="00DF4662">
      <w:pPr>
        <w:pStyle w:val="a7"/>
        <w:spacing w:before="0" w:beforeAutospacing="0" w:after="0" w:afterAutospacing="0"/>
        <w:jc w:val="both"/>
        <w:rPr>
          <w:rFonts w:ascii="仿宋" w:eastAsia="仿宋" w:hAnsi="仿宋"/>
          <w:color w:val="484848"/>
          <w:sz w:val="32"/>
          <w:szCs w:val="32"/>
        </w:rPr>
      </w:pPr>
    </w:p>
    <w:p w14:paraId="6D186048" w14:textId="77777777" w:rsidR="00DF4662" w:rsidRDefault="00DF4662" w:rsidP="00DF4662">
      <w:pPr>
        <w:pStyle w:val="a7"/>
        <w:spacing w:before="0" w:beforeAutospacing="0" w:after="0" w:afterAutospacing="0"/>
        <w:jc w:val="right"/>
        <w:rPr>
          <w:rFonts w:ascii="仿宋" w:eastAsia="仿宋" w:hAnsi="仿宋"/>
          <w:color w:val="484848"/>
          <w:sz w:val="32"/>
          <w:szCs w:val="32"/>
        </w:rPr>
      </w:pPr>
      <w:r>
        <w:rPr>
          <w:rFonts w:ascii="仿宋" w:eastAsia="仿宋" w:hAnsi="仿宋" w:hint="eastAsia"/>
          <w:color w:val="484848"/>
          <w:sz w:val="32"/>
          <w:szCs w:val="32"/>
        </w:rPr>
        <w:t>国务院应对新型冠状病毒肺炎疫情</w:t>
      </w:r>
    </w:p>
    <w:p w14:paraId="5B329FA4" w14:textId="77777777" w:rsidR="00DF4662" w:rsidRDefault="00DF4662" w:rsidP="00DF4662">
      <w:pPr>
        <w:pStyle w:val="a7"/>
        <w:spacing w:before="0" w:beforeAutospacing="0" w:after="0" w:afterAutospacing="0"/>
        <w:jc w:val="right"/>
        <w:rPr>
          <w:rFonts w:ascii="仿宋" w:eastAsia="仿宋" w:hAnsi="仿宋"/>
          <w:color w:val="484848"/>
          <w:sz w:val="32"/>
          <w:szCs w:val="32"/>
        </w:rPr>
      </w:pPr>
      <w:r>
        <w:rPr>
          <w:rFonts w:ascii="仿宋" w:eastAsia="仿宋" w:hAnsi="仿宋" w:hint="eastAsia"/>
          <w:color w:val="484848"/>
          <w:sz w:val="32"/>
          <w:szCs w:val="32"/>
        </w:rPr>
        <w:t>联防联控机制医疗救治组</w:t>
      </w:r>
    </w:p>
    <w:p w14:paraId="40234F96" w14:textId="77777777" w:rsidR="00DF4662" w:rsidRDefault="00DF4662" w:rsidP="00DF4662">
      <w:pPr>
        <w:pStyle w:val="a7"/>
        <w:spacing w:before="0" w:beforeAutospacing="0" w:after="0" w:afterAutospacing="0"/>
        <w:jc w:val="right"/>
        <w:rPr>
          <w:rFonts w:ascii="仿宋" w:eastAsia="仿宋" w:hAnsi="仿宋"/>
          <w:color w:val="484848"/>
          <w:sz w:val="32"/>
          <w:szCs w:val="32"/>
        </w:rPr>
      </w:pPr>
      <w:r>
        <w:rPr>
          <w:rFonts w:ascii="仿宋" w:eastAsia="仿宋" w:hAnsi="仿宋" w:hint="eastAsia"/>
          <w:color w:val="484848"/>
          <w:sz w:val="32"/>
          <w:szCs w:val="32"/>
        </w:rPr>
        <w:t>（代章）</w:t>
      </w:r>
    </w:p>
    <w:p w14:paraId="25B114BF" w14:textId="2DCF02E7" w:rsidR="00DF4662" w:rsidRDefault="00DF4662" w:rsidP="00DF4662">
      <w:pPr>
        <w:pStyle w:val="a7"/>
        <w:spacing w:before="0" w:beforeAutospacing="0" w:after="0" w:afterAutospacing="0"/>
        <w:jc w:val="right"/>
        <w:rPr>
          <w:rFonts w:ascii="仿宋" w:eastAsia="仿宋" w:hAnsi="仿宋"/>
          <w:color w:val="484848"/>
          <w:sz w:val="32"/>
          <w:szCs w:val="32"/>
        </w:rPr>
      </w:pPr>
      <w:r>
        <w:rPr>
          <w:rFonts w:ascii="仿宋" w:eastAsia="仿宋" w:hAnsi="仿宋" w:hint="eastAsia"/>
          <w:color w:val="484848"/>
          <w:sz w:val="32"/>
          <w:szCs w:val="32"/>
        </w:rPr>
        <w:t>2020年8月17日</w:t>
      </w:r>
    </w:p>
    <w:p w14:paraId="6C1839BF" w14:textId="4DBF583D" w:rsidR="002342BA" w:rsidRDefault="002342BA" w:rsidP="003B3336">
      <w:pPr>
        <w:rPr>
          <w:rFonts w:ascii="微软雅黑" w:eastAsia="微软雅黑" w:hAnsi="微软雅黑"/>
          <w:b/>
          <w:bCs/>
          <w:color w:val="FF0000"/>
          <w:shd w:val="pct15" w:color="auto" w:fill="FFFFFF"/>
        </w:rPr>
      </w:pPr>
    </w:p>
    <w:p w14:paraId="40A8EF7B" w14:textId="2BF81AED" w:rsidR="00DF4662" w:rsidRDefault="00DF4662" w:rsidP="003B3336">
      <w:pPr>
        <w:rPr>
          <w:rFonts w:ascii="微软雅黑" w:eastAsia="微软雅黑" w:hAnsi="微软雅黑"/>
          <w:b/>
          <w:bCs/>
          <w:color w:val="FF0000"/>
          <w:shd w:val="pct15" w:color="auto" w:fill="FFFFFF"/>
        </w:rPr>
      </w:pPr>
    </w:p>
    <w:p w14:paraId="682DB662" w14:textId="3CBAC7F6" w:rsidR="00DF4662" w:rsidRDefault="00DF4662" w:rsidP="003B3336">
      <w:pPr>
        <w:rPr>
          <w:rFonts w:ascii="微软雅黑" w:eastAsia="微软雅黑" w:hAnsi="微软雅黑"/>
          <w:b/>
          <w:bCs/>
          <w:color w:val="FF0000"/>
          <w:shd w:val="pct15" w:color="auto" w:fill="FFFFFF"/>
        </w:rPr>
      </w:pPr>
    </w:p>
    <w:p w14:paraId="6495F398" w14:textId="67AEF624" w:rsidR="00DF4662" w:rsidRDefault="00DF4662" w:rsidP="003B3336">
      <w:pPr>
        <w:rPr>
          <w:rFonts w:ascii="微软雅黑" w:eastAsia="微软雅黑" w:hAnsi="微软雅黑"/>
          <w:b/>
          <w:bCs/>
          <w:color w:val="FF0000"/>
          <w:shd w:val="pct15" w:color="auto" w:fill="FFFFFF"/>
        </w:rPr>
      </w:pPr>
    </w:p>
    <w:p w14:paraId="3E25C0CF" w14:textId="49629718" w:rsidR="00DF4662" w:rsidRDefault="00DF4662" w:rsidP="003B3336">
      <w:pPr>
        <w:rPr>
          <w:rFonts w:ascii="微软雅黑" w:eastAsia="微软雅黑" w:hAnsi="微软雅黑"/>
          <w:b/>
          <w:bCs/>
          <w:color w:val="FF0000"/>
          <w:shd w:val="pct15" w:color="auto" w:fill="FFFFFF"/>
        </w:rPr>
      </w:pPr>
    </w:p>
    <w:p w14:paraId="1BDDF487" w14:textId="4CF000DF" w:rsidR="00DF4662" w:rsidRDefault="00DF4662" w:rsidP="00357AAF">
      <w:pPr>
        <w:pStyle w:val="a7"/>
        <w:spacing w:before="0" w:beforeAutospacing="0" w:after="0" w:afterAutospacing="0"/>
        <w:jc w:val="center"/>
        <w:rPr>
          <w:rFonts w:ascii="仿宋" w:eastAsia="仿宋" w:hAnsi="仿宋"/>
          <w:color w:val="484848"/>
          <w:sz w:val="32"/>
          <w:szCs w:val="32"/>
        </w:rPr>
      </w:pPr>
      <w:r>
        <w:rPr>
          <w:rStyle w:val="a8"/>
          <w:rFonts w:ascii="微软雅黑" w:eastAsia="微软雅黑" w:hAnsi="微软雅黑" w:hint="eastAsia"/>
          <w:color w:val="484848"/>
          <w:sz w:val="44"/>
          <w:szCs w:val="44"/>
        </w:rPr>
        <w:lastRenderedPageBreak/>
        <w:t>新冠病毒核酸10合1混采检测技术规范</w:t>
      </w:r>
    </w:p>
    <w:p w14:paraId="6DD0C299" w14:textId="77777777" w:rsidR="00357AAF" w:rsidRDefault="00DF4662" w:rsidP="00357AAF">
      <w:pPr>
        <w:pStyle w:val="a7"/>
        <w:spacing w:beforeLines="100" w:before="312" w:beforeAutospacing="0" w:after="0" w:afterAutospacing="0"/>
        <w:ind w:firstLineChars="200" w:firstLine="640"/>
        <w:jc w:val="both"/>
        <w:rPr>
          <w:rFonts w:ascii="仿宋" w:eastAsia="仿宋" w:hAnsi="仿宋"/>
          <w:color w:val="484848"/>
          <w:sz w:val="32"/>
          <w:szCs w:val="32"/>
        </w:rPr>
      </w:pPr>
      <w:r>
        <w:rPr>
          <w:rFonts w:ascii="仿宋" w:eastAsia="仿宋" w:hAnsi="仿宋" w:hint="eastAsia"/>
          <w:color w:val="484848"/>
          <w:sz w:val="32"/>
          <w:szCs w:val="32"/>
        </w:rPr>
        <w:t>为落实国务院应对新冠病毒感染肺炎疫情联防联控机制《关于做好新冠肺炎疫情常态化防控工作的指导意见》（国发明电〔2020〕14号）以及《关于加快推进新冠病毒核酸检测的实施意见》（联防联控机制综发﹝2020﹞181号）有关要求，指导各地新冠病毒混采检测工作，进一步提升核酸检测能力和效率，针对新冠病毒核酸10合1混采检测（10-in-1 test）技术（指将采集自10人的10支</w:t>
      </w:r>
      <w:proofErr w:type="gramStart"/>
      <w:r>
        <w:rPr>
          <w:rFonts w:ascii="仿宋" w:eastAsia="仿宋" w:hAnsi="仿宋" w:hint="eastAsia"/>
          <w:color w:val="484848"/>
          <w:sz w:val="32"/>
          <w:szCs w:val="32"/>
        </w:rPr>
        <w:t>拭</w:t>
      </w:r>
      <w:proofErr w:type="gramEnd"/>
      <w:r>
        <w:rPr>
          <w:rFonts w:ascii="仿宋" w:eastAsia="仿宋" w:hAnsi="仿宋" w:hint="eastAsia"/>
          <w:color w:val="484848"/>
          <w:sz w:val="32"/>
          <w:szCs w:val="32"/>
        </w:rPr>
        <w:t>子集合于1个采集管中进行核酸检测的方法），制定本规范。</w:t>
      </w:r>
    </w:p>
    <w:p w14:paraId="00FCD175" w14:textId="77777777" w:rsidR="00357AAF" w:rsidRDefault="00DF4662" w:rsidP="00357AAF">
      <w:pPr>
        <w:pStyle w:val="a7"/>
        <w:spacing w:beforeLines="100" w:before="312" w:beforeAutospacing="0" w:after="0" w:afterAutospacing="0"/>
        <w:ind w:firstLineChars="200" w:firstLine="640"/>
        <w:jc w:val="both"/>
        <w:rPr>
          <w:rFonts w:ascii="黑体" w:eastAsia="黑体" w:hAnsi="黑体"/>
          <w:color w:val="484848"/>
          <w:sz w:val="32"/>
          <w:szCs w:val="32"/>
        </w:rPr>
      </w:pPr>
      <w:r>
        <w:rPr>
          <w:rFonts w:ascii="黑体" w:eastAsia="黑体" w:hAnsi="黑体" w:hint="eastAsia"/>
          <w:color w:val="484848"/>
          <w:sz w:val="32"/>
          <w:szCs w:val="32"/>
        </w:rPr>
        <w:t>一、样本采集耗材规格</w:t>
      </w:r>
    </w:p>
    <w:p w14:paraId="3B4B1A00" w14:textId="77777777" w:rsidR="00357AAF" w:rsidRDefault="00DF4662" w:rsidP="00357AAF">
      <w:pPr>
        <w:pStyle w:val="a7"/>
        <w:spacing w:beforeLines="100" w:before="312" w:beforeAutospacing="0" w:after="0" w:afterAutospacing="0"/>
        <w:ind w:firstLineChars="200" w:firstLine="640"/>
        <w:jc w:val="both"/>
        <w:rPr>
          <w:rFonts w:ascii="楷体" w:eastAsia="楷体" w:hAnsi="楷体"/>
          <w:color w:val="484848"/>
          <w:sz w:val="32"/>
          <w:szCs w:val="32"/>
        </w:rPr>
      </w:pPr>
      <w:r>
        <w:rPr>
          <w:rFonts w:ascii="楷体" w:eastAsia="楷体" w:hAnsi="楷体" w:hint="eastAsia"/>
          <w:color w:val="484848"/>
          <w:sz w:val="32"/>
          <w:szCs w:val="32"/>
        </w:rPr>
        <w:t>（一）病毒采集管。</w:t>
      </w:r>
    </w:p>
    <w:p w14:paraId="799612B9" w14:textId="67DEE14A" w:rsidR="00357AAF" w:rsidRDefault="00DF4662" w:rsidP="00357AAF">
      <w:pPr>
        <w:pStyle w:val="a7"/>
        <w:spacing w:beforeLines="100" w:before="312" w:beforeAutospacing="0" w:after="0" w:afterAutospacing="0"/>
        <w:ind w:firstLineChars="200" w:firstLine="640"/>
        <w:jc w:val="both"/>
        <w:rPr>
          <w:rFonts w:ascii="仿宋" w:eastAsia="仿宋" w:hAnsi="仿宋"/>
          <w:color w:val="484848"/>
          <w:sz w:val="32"/>
          <w:szCs w:val="32"/>
        </w:rPr>
      </w:pPr>
      <w:r>
        <w:rPr>
          <w:rFonts w:ascii="仿宋" w:eastAsia="仿宋" w:hAnsi="仿宋" w:hint="eastAsia"/>
          <w:color w:val="484848"/>
          <w:sz w:val="32"/>
          <w:szCs w:val="32"/>
        </w:rPr>
        <w:t>管帽和管体应当为聚丙烯材质，螺旋口可密封，松紧适度。管体透明，可视度好。试管外径（14.8±0.2）mm×（100.5±0.4）mm,管帽外径（15.8±0.15）mm,高度（12.5±0.5）mm。容量企业定标10 ml，内含6ml</w:t>
      </w:r>
      <w:proofErr w:type="gramStart"/>
      <w:r>
        <w:rPr>
          <w:rFonts w:ascii="仿宋" w:eastAsia="仿宋" w:hAnsi="仿宋" w:hint="eastAsia"/>
          <w:color w:val="484848"/>
          <w:sz w:val="32"/>
          <w:szCs w:val="32"/>
        </w:rPr>
        <w:t>胍</w:t>
      </w:r>
      <w:proofErr w:type="gramEnd"/>
      <w:r>
        <w:rPr>
          <w:rFonts w:ascii="仿宋" w:eastAsia="仿宋" w:hAnsi="仿宋" w:hint="eastAsia"/>
          <w:color w:val="484848"/>
          <w:sz w:val="32"/>
          <w:szCs w:val="32"/>
        </w:rPr>
        <w:t>盐或其他有效病毒灭活剂的保存液。保存液应当带有易于观察、辨识的颜色（如粉红色），并保持一定的流动性，方便取样。</w:t>
      </w:r>
    </w:p>
    <w:p w14:paraId="29A51ABB" w14:textId="77777777" w:rsidR="00357AAF" w:rsidRDefault="00DF4662" w:rsidP="00357AAF">
      <w:pPr>
        <w:pStyle w:val="a7"/>
        <w:spacing w:beforeLines="100" w:before="312" w:beforeAutospacing="0" w:after="0" w:afterAutospacing="0"/>
        <w:ind w:firstLineChars="200" w:firstLine="640"/>
        <w:jc w:val="both"/>
        <w:rPr>
          <w:rFonts w:ascii="楷体" w:eastAsia="楷体" w:hAnsi="楷体"/>
          <w:color w:val="484848"/>
          <w:sz w:val="32"/>
          <w:szCs w:val="32"/>
        </w:rPr>
      </w:pPr>
      <w:r>
        <w:rPr>
          <w:rFonts w:ascii="楷体" w:eastAsia="楷体" w:hAnsi="楷体" w:hint="eastAsia"/>
          <w:color w:val="484848"/>
          <w:sz w:val="32"/>
          <w:szCs w:val="32"/>
        </w:rPr>
        <w:t>（二）采集拭子。</w:t>
      </w:r>
    </w:p>
    <w:p w14:paraId="5A5F8544" w14:textId="77777777" w:rsidR="00357AAF" w:rsidRDefault="00DF4662" w:rsidP="00357AAF">
      <w:pPr>
        <w:pStyle w:val="a7"/>
        <w:spacing w:beforeLines="100" w:before="312" w:beforeAutospacing="0" w:after="0" w:afterAutospacing="0"/>
        <w:ind w:firstLineChars="200" w:firstLine="640"/>
        <w:jc w:val="both"/>
        <w:rPr>
          <w:rFonts w:ascii="仿宋" w:eastAsia="仿宋" w:hAnsi="仿宋"/>
          <w:color w:val="484848"/>
          <w:sz w:val="32"/>
          <w:szCs w:val="32"/>
        </w:rPr>
      </w:pPr>
      <w:r>
        <w:rPr>
          <w:rFonts w:ascii="仿宋" w:eastAsia="仿宋" w:hAnsi="仿宋" w:hint="eastAsia"/>
          <w:color w:val="484848"/>
          <w:sz w:val="32"/>
          <w:szCs w:val="32"/>
        </w:rPr>
        <w:lastRenderedPageBreak/>
        <w:t>宜选用聚酯、尼龙等非棉质、</w:t>
      </w:r>
      <w:proofErr w:type="gramStart"/>
      <w:r>
        <w:rPr>
          <w:rFonts w:ascii="仿宋" w:eastAsia="仿宋" w:hAnsi="仿宋" w:hint="eastAsia"/>
          <w:color w:val="484848"/>
          <w:sz w:val="32"/>
          <w:szCs w:val="32"/>
        </w:rPr>
        <w:t>非藻酸</w:t>
      </w:r>
      <w:proofErr w:type="gramEnd"/>
      <w:r>
        <w:rPr>
          <w:rFonts w:ascii="仿宋" w:eastAsia="仿宋" w:hAnsi="仿宋" w:hint="eastAsia"/>
          <w:color w:val="484848"/>
          <w:sz w:val="32"/>
          <w:szCs w:val="32"/>
        </w:rPr>
        <w:t>钙材质的拭子，且柄部为非木质材料。折断点位于距拭子头顶端3cm左右，易于折断。</w:t>
      </w:r>
    </w:p>
    <w:p w14:paraId="27993A4D" w14:textId="77777777" w:rsidR="00357AAF" w:rsidRDefault="00DF4662" w:rsidP="00357AAF">
      <w:pPr>
        <w:pStyle w:val="a7"/>
        <w:spacing w:beforeLines="100" w:before="312" w:beforeAutospacing="0" w:after="0" w:afterAutospacing="0"/>
        <w:ind w:firstLineChars="200" w:firstLine="640"/>
        <w:jc w:val="both"/>
        <w:rPr>
          <w:rFonts w:ascii="黑体" w:eastAsia="黑体" w:hAnsi="黑体"/>
          <w:color w:val="484848"/>
          <w:sz w:val="32"/>
          <w:szCs w:val="32"/>
        </w:rPr>
      </w:pPr>
      <w:r>
        <w:rPr>
          <w:rFonts w:ascii="黑体" w:eastAsia="黑体" w:hAnsi="黑体" w:hint="eastAsia"/>
          <w:color w:val="484848"/>
          <w:sz w:val="32"/>
          <w:szCs w:val="32"/>
        </w:rPr>
        <w:t>二、采集地点要求</w:t>
      </w:r>
    </w:p>
    <w:p w14:paraId="054D2821" w14:textId="77777777" w:rsidR="005A74AE" w:rsidRDefault="00DF4662" w:rsidP="00357AAF">
      <w:pPr>
        <w:pStyle w:val="a7"/>
        <w:spacing w:beforeLines="100" w:before="312" w:beforeAutospacing="0" w:after="0" w:afterAutospacing="0"/>
        <w:ind w:firstLineChars="200" w:firstLine="640"/>
        <w:jc w:val="both"/>
        <w:rPr>
          <w:rFonts w:ascii="仿宋" w:eastAsia="仿宋" w:hAnsi="仿宋"/>
          <w:color w:val="484848"/>
          <w:sz w:val="32"/>
          <w:szCs w:val="32"/>
        </w:rPr>
      </w:pPr>
      <w:r>
        <w:rPr>
          <w:rFonts w:ascii="仿宋" w:eastAsia="仿宋" w:hAnsi="仿宋" w:hint="eastAsia"/>
          <w:color w:val="484848"/>
          <w:sz w:val="32"/>
          <w:szCs w:val="32"/>
        </w:rPr>
        <w:t>选择空旷、通风良好的场地作为大规模人群筛查集中采集地点。根据原有场地条件，划分为等候区、采集区、缓冲区和临时隔离区，有效分散待检人员密度。应当设置急救设备备用。</w:t>
      </w:r>
    </w:p>
    <w:p w14:paraId="7545C3BA" w14:textId="77777777" w:rsidR="005A74AE" w:rsidRDefault="00DF4662" w:rsidP="005A74AE">
      <w:pPr>
        <w:pStyle w:val="a7"/>
        <w:spacing w:before="0" w:beforeAutospacing="0" w:after="0" w:afterAutospacing="0"/>
        <w:ind w:firstLineChars="200" w:firstLine="640"/>
        <w:jc w:val="both"/>
        <w:rPr>
          <w:rFonts w:ascii="楷体" w:eastAsia="楷体" w:hAnsi="楷体"/>
          <w:color w:val="484848"/>
          <w:sz w:val="32"/>
          <w:szCs w:val="32"/>
        </w:rPr>
      </w:pPr>
      <w:r>
        <w:rPr>
          <w:rFonts w:ascii="楷体" w:eastAsia="楷体" w:hAnsi="楷体" w:hint="eastAsia"/>
          <w:color w:val="484848"/>
          <w:sz w:val="32"/>
          <w:szCs w:val="32"/>
        </w:rPr>
        <w:t>（一）等候区。</w:t>
      </w:r>
    </w:p>
    <w:p w14:paraId="297DBA8C" w14:textId="77777777" w:rsidR="005A74AE" w:rsidRDefault="00DF4662" w:rsidP="005A74AE">
      <w:pPr>
        <w:pStyle w:val="a7"/>
        <w:spacing w:before="0" w:beforeAutospacing="0" w:after="0" w:afterAutospacing="0"/>
        <w:ind w:firstLineChars="200" w:firstLine="640"/>
        <w:jc w:val="both"/>
        <w:rPr>
          <w:rFonts w:ascii="仿宋" w:eastAsia="仿宋" w:hAnsi="仿宋"/>
          <w:color w:val="484848"/>
          <w:sz w:val="32"/>
          <w:szCs w:val="32"/>
        </w:rPr>
      </w:pPr>
      <w:r>
        <w:rPr>
          <w:rFonts w:ascii="仿宋" w:eastAsia="仿宋" w:hAnsi="仿宋" w:hint="eastAsia"/>
          <w:color w:val="484848"/>
          <w:sz w:val="32"/>
          <w:szCs w:val="32"/>
        </w:rPr>
        <w:t>设置人行通道，同时设置</w:t>
      </w:r>
      <w:proofErr w:type="gramStart"/>
      <w:r>
        <w:rPr>
          <w:rFonts w:ascii="仿宋" w:eastAsia="仿宋" w:hAnsi="仿宋" w:hint="eastAsia"/>
          <w:color w:val="484848"/>
          <w:sz w:val="32"/>
          <w:szCs w:val="32"/>
        </w:rPr>
        <w:t>一</w:t>
      </w:r>
      <w:proofErr w:type="gramEnd"/>
      <w:r>
        <w:rPr>
          <w:rFonts w:ascii="仿宋" w:eastAsia="仿宋" w:hAnsi="仿宋" w:hint="eastAsia"/>
          <w:color w:val="484848"/>
          <w:sz w:val="32"/>
          <w:szCs w:val="32"/>
        </w:rPr>
        <w:t>米线保证等候人员的防护安全。根据天气条件配备保温、降温，遮阳、遮雨等设施。老年人、儿童、孕妇和其他行动不便者优先采集。</w:t>
      </w:r>
    </w:p>
    <w:p w14:paraId="2B6BEB77" w14:textId="77777777" w:rsidR="005A74AE" w:rsidRDefault="00DF4662" w:rsidP="005A74AE">
      <w:pPr>
        <w:pStyle w:val="a7"/>
        <w:spacing w:before="0" w:beforeAutospacing="0" w:after="0" w:afterAutospacing="0"/>
        <w:ind w:firstLineChars="200" w:firstLine="640"/>
        <w:jc w:val="both"/>
        <w:rPr>
          <w:rFonts w:ascii="仿宋" w:eastAsia="仿宋" w:hAnsi="仿宋"/>
          <w:color w:val="484848"/>
          <w:sz w:val="32"/>
          <w:szCs w:val="32"/>
        </w:rPr>
      </w:pPr>
      <w:r>
        <w:rPr>
          <w:rFonts w:ascii="楷体" w:eastAsia="楷体" w:hAnsi="楷体" w:hint="eastAsia"/>
          <w:color w:val="484848"/>
          <w:sz w:val="32"/>
          <w:szCs w:val="32"/>
        </w:rPr>
        <w:t>（二）采集区。</w:t>
      </w:r>
    </w:p>
    <w:p w14:paraId="12A18AC6" w14:textId="77777777" w:rsidR="005A74AE" w:rsidRDefault="00DF4662" w:rsidP="005A74AE">
      <w:pPr>
        <w:pStyle w:val="a7"/>
        <w:spacing w:before="0" w:beforeAutospacing="0" w:after="0" w:afterAutospacing="0"/>
        <w:ind w:firstLineChars="200" w:firstLine="640"/>
        <w:jc w:val="both"/>
        <w:rPr>
          <w:rFonts w:ascii="仿宋" w:eastAsia="仿宋" w:hAnsi="仿宋"/>
          <w:color w:val="484848"/>
          <w:sz w:val="32"/>
          <w:szCs w:val="32"/>
        </w:rPr>
      </w:pPr>
      <w:r>
        <w:rPr>
          <w:rFonts w:ascii="仿宋" w:eastAsia="仿宋" w:hAnsi="仿宋" w:hint="eastAsia"/>
          <w:color w:val="484848"/>
          <w:sz w:val="32"/>
          <w:szCs w:val="32"/>
        </w:rPr>
        <w:t>根据气候条件，配备帐篷、冷/暖风扇、适量桌椅，保证医护人员在相对舒适环境下工作。配备采集用消毒用品、拭子、病毒采集管，并应当为受检人员准备纸巾、呕吐袋和口罩备用。标本如无法及时运送至实验室，需准备4℃冰箱或低温保存箱暂存。应当制定防止病原微生物扩散和感染的应急预案。</w:t>
      </w:r>
    </w:p>
    <w:p w14:paraId="5C448012" w14:textId="77777777" w:rsidR="005A74AE" w:rsidRDefault="00DF4662" w:rsidP="005A74AE">
      <w:pPr>
        <w:pStyle w:val="a7"/>
        <w:spacing w:before="0" w:beforeAutospacing="0" w:after="0" w:afterAutospacing="0"/>
        <w:ind w:firstLineChars="200" w:firstLine="640"/>
        <w:jc w:val="both"/>
        <w:rPr>
          <w:rFonts w:ascii="楷体" w:eastAsia="楷体" w:hAnsi="楷体"/>
          <w:color w:val="484848"/>
          <w:sz w:val="32"/>
          <w:szCs w:val="32"/>
        </w:rPr>
      </w:pPr>
      <w:r>
        <w:rPr>
          <w:rFonts w:ascii="楷体" w:eastAsia="楷体" w:hAnsi="楷体" w:hint="eastAsia"/>
          <w:color w:val="484848"/>
          <w:sz w:val="32"/>
          <w:szCs w:val="32"/>
        </w:rPr>
        <w:t>（三）缓冲区。</w:t>
      </w:r>
    </w:p>
    <w:p w14:paraId="6BD9A64D" w14:textId="77777777" w:rsidR="005A74AE" w:rsidRDefault="00DF4662" w:rsidP="005A74AE">
      <w:pPr>
        <w:pStyle w:val="a7"/>
        <w:spacing w:before="0" w:beforeAutospacing="0" w:after="0" w:afterAutospacing="0"/>
        <w:ind w:firstLineChars="200" w:firstLine="640"/>
        <w:jc w:val="both"/>
        <w:rPr>
          <w:rFonts w:ascii="仿宋" w:eastAsia="仿宋" w:hAnsi="仿宋"/>
          <w:color w:val="484848"/>
          <w:sz w:val="32"/>
          <w:szCs w:val="32"/>
        </w:rPr>
      </w:pPr>
      <w:r>
        <w:rPr>
          <w:rFonts w:ascii="仿宋" w:eastAsia="仿宋" w:hAnsi="仿宋" w:hint="eastAsia"/>
          <w:color w:val="484848"/>
          <w:sz w:val="32"/>
          <w:szCs w:val="32"/>
        </w:rPr>
        <w:t>空间应当相对密闭，可供采集人员更换个人防护装备，放置与采样点规模相匹配的防护用品、采集用消毒用品、拭子和采集管，</w:t>
      </w:r>
      <w:proofErr w:type="gramStart"/>
      <w:r>
        <w:rPr>
          <w:rFonts w:ascii="仿宋" w:eastAsia="仿宋" w:hAnsi="仿宋" w:hint="eastAsia"/>
          <w:color w:val="484848"/>
          <w:sz w:val="32"/>
          <w:szCs w:val="32"/>
        </w:rPr>
        <w:t>户外消</w:t>
      </w:r>
      <w:proofErr w:type="gramEnd"/>
      <w:r>
        <w:rPr>
          <w:rFonts w:ascii="仿宋" w:eastAsia="仿宋" w:hAnsi="仿宋" w:hint="eastAsia"/>
          <w:color w:val="484848"/>
          <w:sz w:val="32"/>
          <w:szCs w:val="32"/>
        </w:rPr>
        <w:t>杀设备。</w:t>
      </w:r>
    </w:p>
    <w:p w14:paraId="100B7DA2" w14:textId="77777777" w:rsidR="005A74AE" w:rsidRDefault="00DF4662" w:rsidP="005A74AE">
      <w:pPr>
        <w:pStyle w:val="a7"/>
        <w:spacing w:before="0" w:beforeAutospacing="0" w:after="0" w:afterAutospacing="0"/>
        <w:ind w:firstLineChars="200" w:firstLine="640"/>
        <w:jc w:val="both"/>
        <w:rPr>
          <w:rFonts w:ascii="楷体" w:eastAsia="楷体" w:hAnsi="楷体"/>
          <w:color w:val="484848"/>
          <w:sz w:val="32"/>
          <w:szCs w:val="32"/>
        </w:rPr>
      </w:pPr>
      <w:r>
        <w:rPr>
          <w:rFonts w:ascii="楷体" w:eastAsia="楷体" w:hAnsi="楷体" w:hint="eastAsia"/>
          <w:color w:val="484848"/>
          <w:sz w:val="32"/>
          <w:szCs w:val="32"/>
        </w:rPr>
        <w:t>（四）临时隔离区。</w:t>
      </w:r>
    </w:p>
    <w:p w14:paraId="5A90268E" w14:textId="77777777" w:rsidR="005A74AE" w:rsidRDefault="00DF4662" w:rsidP="005A74AE">
      <w:pPr>
        <w:pStyle w:val="a7"/>
        <w:spacing w:before="0" w:beforeAutospacing="0" w:after="0" w:afterAutospacing="0"/>
        <w:ind w:firstLineChars="200" w:firstLine="640"/>
        <w:jc w:val="both"/>
        <w:rPr>
          <w:rFonts w:ascii="仿宋" w:eastAsia="仿宋" w:hAnsi="仿宋"/>
          <w:color w:val="484848"/>
          <w:sz w:val="32"/>
          <w:szCs w:val="32"/>
        </w:rPr>
      </w:pPr>
      <w:r>
        <w:rPr>
          <w:rFonts w:ascii="仿宋" w:eastAsia="仿宋" w:hAnsi="仿宋" w:hint="eastAsia"/>
          <w:color w:val="484848"/>
          <w:sz w:val="32"/>
          <w:szCs w:val="32"/>
        </w:rPr>
        <w:lastRenderedPageBreak/>
        <w:t>用于暂时隔离在采集过程中发现的疑似患者或高危人群。</w:t>
      </w:r>
    </w:p>
    <w:p w14:paraId="1BCF8DBE" w14:textId="77777777" w:rsidR="005A74AE" w:rsidRDefault="00DF4662" w:rsidP="005A74AE">
      <w:pPr>
        <w:pStyle w:val="a7"/>
        <w:spacing w:before="0" w:beforeAutospacing="0" w:after="0" w:afterAutospacing="0"/>
        <w:ind w:firstLineChars="200" w:firstLine="640"/>
        <w:jc w:val="both"/>
        <w:rPr>
          <w:rFonts w:ascii="黑体" w:eastAsia="黑体" w:hAnsi="黑体"/>
          <w:color w:val="484848"/>
          <w:sz w:val="32"/>
          <w:szCs w:val="32"/>
        </w:rPr>
      </w:pPr>
      <w:r>
        <w:rPr>
          <w:rFonts w:ascii="黑体" w:eastAsia="黑体" w:hAnsi="黑体" w:hint="eastAsia"/>
          <w:color w:val="484848"/>
          <w:sz w:val="32"/>
          <w:szCs w:val="32"/>
        </w:rPr>
        <w:t>三、采集流程</w:t>
      </w:r>
    </w:p>
    <w:p w14:paraId="4FD2D636" w14:textId="77777777" w:rsidR="005A74AE" w:rsidRDefault="00DF4662" w:rsidP="005A74AE">
      <w:pPr>
        <w:pStyle w:val="a7"/>
        <w:spacing w:before="0" w:beforeAutospacing="0" w:after="0" w:afterAutospacing="0"/>
        <w:ind w:firstLineChars="200" w:firstLine="640"/>
        <w:jc w:val="both"/>
        <w:rPr>
          <w:rFonts w:ascii="楷体" w:eastAsia="楷体" w:hAnsi="楷体"/>
          <w:color w:val="484848"/>
          <w:sz w:val="32"/>
          <w:szCs w:val="32"/>
        </w:rPr>
      </w:pPr>
      <w:r>
        <w:rPr>
          <w:rFonts w:ascii="楷体" w:eastAsia="楷体" w:hAnsi="楷体" w:hint="eastAsia"/>
          <w:color w:val="484848"/>
          <w:sz w:val="32"/>
          <w:szCs w:val="32"/>
        </w:rPr>
        <w:t>（一）标识及信息登记。</w:t>
      </w:r>
    </w:p>
    <w:p w14:paraId="5C823744" w14:textId="77777777" w:rsidR="005A74AE" w:rsidRDefault="00DF4662" w:rsidP="005A74AE">
      <w:pPr>
        <w:pStyle w:val="a7"/>
        <w:spacing w:before="0" w:beforeAutospacing="0" w:after="0" w:afterAutospacing="0"/>
        <w:ind w:firstLineChars="200" w:firstLine="640"/>
        <w:jc w:val="both"/>
        <w:rPr>
          <w:rFonts w:ascii="仿宋" w:eastAsia="仿宋" w:hAnsi="仿宋"/>
          <w:color w:val="484848"/>
          <w:sz w:val="32"/>
          <w:szCs w:val="32"/>
        </w:rPr>
      </w:pPr>
      <w:r>
        <w:rPr>
          <w:rFonts w:ascii="仿宋" w:eastAsia="仿宋" w:hAnsi="仿宋" w:hint="eastAsia"/>
          <w:color w:val="484848"/>
          <w:sz w:val="32"/>
          <w:szCs w:val="32"/>
        </w:rPr>
        <w:t>1.登记流程。工作人员在采集前分配10个受检者为一组，采集前收集并登记受检者相关信息（包括姓名、性别、身份证号、联系电话、采集地点、采集日期和时间），按照组别进行采集管编号。</w:t>
      </w:r>
    </w:p>
    <w:p w14:paraId="5CC8720D" w14:textId="77777777" w:rsidR="005A74AE" w:rsidRDefault="00DF4662" w:rsidP="005A74AE">
      <w:pPr>
        <w:pStyle w:val="a7"/>
        <w:spacing w:before="0" w:beforeAutospacing="0" w:after="0" w:afterAutospacing="0"/>
        <w:ind w:firstLineChars="200" w:firstLine="640"/>
        <w:jc w:val="both"/>
        <w:rPr>
          <w:rFonts w:ascii="仿宋" w:eastAsia="仿宋" w:hAnsi="仿宋"/>
          <w:color w:val="484848"/>
          <w:sz w:val="32"/>
          <w:szCs w:val="32"/>
        </w:rPr>
      </w:pPr>
      <w:r>
        <w:rPr>
          <w:rFonts w:ascii="仿宋" w:eastAsia="仿宋" w:hAnsi="仿宋" w:hint="eastAsia"/>
          <w:color w:val="484848"/>
          <w:sz w:val="32"/>
          <w:szCs w:val="32"/>
        </w:rPr>
        <w:t>2.登记要求。推荐使用身份证读卡器、</w:t>
      </w:r>
      <w:proofErr w:type="gramStart"/>
      <w:r>
        <w:rPr>
          <w:rFonts w:ascii="仿宋" w:eastAsia="仿宋" w:hAnsi="仿宋" w:hint="eastAsia"/>
          <w:color w:val="484848"/>
          <w:sz w:val="32"/>
          <w:szCs w:val="32"/>
        </w:rPr>
        <w:t>二维码条码</w:t>
      </w:r>
      <w:proofErr w:type="gramEnd"/>
      <w:r>
        <w:rPr>
          <w:rFonts w:ascii="仿宋" w:eastAsia="仿宋" w:hAnsi="仿宋" w:hint="eastAsia"/>
          <w:color w:val="484848"/>
          <w:sz w:val="32"/>
          <w:szCs w:val="32"/>
        </w:rPr>
        <w:t>等信息化手段关联受检者信息，提高信息读取效率和准确性。如不具备信息化条件，应当提前登记《新冠病毒核酸10合1混采检测登记表》（见附件，以下简称混采登记表）。纸质登记表随标本送检前应当备份存档于采集点所在社区，便于及时追溯受检者。</w:t>
      </w:r>
    </w:p>
    <w:p w14:paraId="3E58F81D" w14:textId="77777777" w:rsidR="005A74AE" w:rsidRDefault="00DF4662" w:rsidP="005A74AE">
      <w:pPr>
        <w:pStyle w:val="a7"/>
        <w:spacing w:before="0" w:beforeAutospacing="0" w:after="0" w:afterAutospacing="0"/>
        <w:ind w:firstLineChars="200" w:firstLine="640"/>
        <w:jc w:val="both"/>
        <w:rPr>
          <w:rFonts w:ascii="楷体" w:eastAsia="楷体" w:hAnsi="楷体"/>
          <w:color w:val="484848"/>
          <w:sz w:val="32"/>
          <w:szCs w:val="32"/>
        </w:rPr>
      </w:pPr>
      <w:r>
        <w:rPr>
          <w:rFonts w:ascii="楷体" w:eastAsia="楷体" w:hAnsi="楷体" w:hint="eastAsia"/>
          <w:color w:val="484848"/>
          <w:sz w:val="32"/>
          <w:szCs w:val="32"/>
        </w:rPr>
        <w:t>（二）采集方法。</w:t>
      </w:r>
    </w:p>
    <w:p w14:paraId="48B3193C" w14:textId="77777777" w:rsidR="005A74AE" w:rsidRDefault="00DF4662" w:rsidP="005A74AE">
      <w:pPr>
        <w:pStyle w:val="a7"/>
        <w:spacing w:before="0" w:beforeAutospacing="0" w:after="0" w:afterAutospacing="0"/>
        <w:ind w:firstLineChars="200" w:firstLine="640"/>
        <w:jc w:val="both"/>
        <w:rPr>
          <w:rFonts w:ascii="仿宋" w:eastAsia="仿宋" w:hAnsi="仿宋"/>
          <w:color w:val="484848"/>
          <w:sz w:val="32"/>
          <w:szCs w:val="32"/>
        </w:rPr>
      </w:pPr>
      <w:r>
        <w:rPr>
          <w:rFonts w:ascii="仿宋" w:eastAsia="仿宋" w:hAnsi="仿宋" w:hint="eastAsia"/>
          <w:color w:val="484848"/>
          <w:sz w:val="32"/>
          <w:szCs w:val="32"/>
        </w:rPr>
        <w:t>被采集人员头部微仰，嘴张大，发“啊”音，露出两侧咽扁桃体，采集人员将拭子越过被采集人员舌根，在两侧咽扁桃体稍微用力来回擦拭至少3次，然后在咽后壁上下擦拭至少3次。操作完毕后，将拭子头置入管中、拭子折断点置于管口处，稍用力折断使拭子头落入采集管的液体中，弃去折断后的拭子杆，旋紧管盖，将采集管置于稳定的置物架上。每例采集后采集人员均应进行手消毒。</w:t>
      </w:r>
    </w:p>
    <w:p w14:paraId="6D96EC23" w14:textId="77777777" w:rsidR="005A74AE" w:rsidRDefault="00DF4662" w:rsidP="005A74AE">
      <w:pPr>
        <w:pStyle w:val="a7"/>
        <w:spacing w:before="0" w:beforeAutospacing="0" w:after="0" w:afterAutospacing="0"/>
        <w:ind w:firstLineChars="200" w:firstLine="640"/>
        <w:jc w:val="both"/>
        <w:rPr>
          <w:rFonts w:ascii="楷体" w:eastAsia="楷体" w:hAnsi="楷体"/>
          <w:color w:val="484848"/>
          <w:sz w:val="32"/>
          <w:szCs w:val="32"/>
        </w:rPr>
      </w:pPr>
      <w:r>
        <w:rPr>
          <w:rFonts w:ascii="楷体" w:eastAsia="楷体" w:hAnsi="楷体" w:hint="eastAsia"/>
          <w:color w:val="484848"/>
          <w:sz w:val="32"/>
          <w:szCs w:val="32"/>
        </w:rPr>
        <w:t>（三）混合拭子。</w:t>
      </w:r>
    </w:p>
    <w:p w14:paraId="7A6AC4F1" w14:textId="77777777" w:rsidR="005A74AE" w:rsidRDefault="00DF4662" w:rsidP="005A74AE">
      <w:pPr>
        <w:pStyle w:val="a7"/>
        <w:spacing w:before="0" w:beforeAutospacing="0" w:after="0" w:afterAutospacing="0"/>
        <w:ind w:firstLineChars="200" w:firstLine="640"/>
        <w:jc w:val="both"/>
        <w:rPr>
          <w:rFonts w:ascii="仿宋" w:eastAsia="仿宋" w:hAnsi="仿宋"/>
          <w:color w:val="484848"/>
          <w:sz w:val="32"/>
          <w:szCs w:val="32"/>
        </w:rPr>
      </w:pPr>
      <w:r>
        <w:rPr>
          <w:rFonts w:ascii="仿宋" w:eastAsia="仿宋" w:hAnsi="仿宋" w:hint="eastAsia"/>
          <w:color w:val="484848"/>
          <w:sz w:val="32"/>
          <w:szCs w:val="32"/>
        </w:rPr>
        <w:t>依照上述采集方法依次采集其余9支拭子，将完成采集的拭子放入同一采集管中，动作轻柔，避免气溶胶产生。连续采集10</w:t>
      </w:r>
      <w:r>
        <w:rPr>
          <w:rFonts w:ascii="仿宋" w:eastAsia="仿宋" w:hAnsi="仿宋" w:hint="eastAsia"/>
          <w:color w:val="484848"/>
          <w:sz w:val="32"/>
          <w:szCs w:val="32"/>
        </w:rPr>
        <w:lastRenderedPageBreak/>
        <w:t>支拭子以后，旋紧管盖，防止溢洒。如采集管内拭子不足10支，应做好特殊标记并记录。</w:t>
      </w:r>
    </w:p>
    <w:p w14:paraId="1A3E69E8" w14:textId="77777777" w:rsidR="005A74AE" w:rsidRDefault="00DF4662" w:rsidP="005A74AE">
      <w:pPr>
        <w:pStyle w:val="a7"/>
        <w:spacing w:before="0" w:beforeAutospacing="0" w:after="0" w:afterAutospacing="0"/>
        <w:ind w:firstLineChars="200" w:firstLine="640"/>
        <w:jc w:val="both"/>
        <w:rPr>
          <w:rFonts w:ascii="黑体" w:eastAsia="黑体" w:hAnsi="黑体"/>
          <w:color w:val="484848"/>
          <w:sz w:val="32"/>
          <w:szCs w:val="32"/>
        </w:rPr>
      </w:pPr>
      <w:r>
        <w:rPr>
          <w:rFonts w:ascii="黑体" w:eastAsia="黑体" w:hAnsi="黑体" w:hint="eastAsia"/>
          <w:color w:val="484848"/>
          <w:sz w:val="32"/>
          <w:szCs w:val="32"/>
        </w:rPr>
        <w:t>四、标本送检</w:t>
      </w:r>
    </w:p>
    <w:p w14:paraId="07DE9D9D" w14:textId="77777777" w:rsidR="005A74AE" w:rsidRDefault="00DF4662" w:rsidP="005A74AE">
      <w:pPr>
        <w:pStyle w:val="a7"/>
        <w:spacing w:before="0" w:beforeAutospacing="0" w:after="0" w:afterAutospacing="0"/>
        <w:ind w:firstLineChars="200" w:firstLine="640"/>
        <w:jc w:val="both"/>
        <w:rPr>
          <w:rFonts w:ascii="楷体" w:eastAsia="楷体" w:hAnsi="楷体"/>
          <w:color w:val="484848"/>
          <w:sz w:val="32"/>
          <w:szCs w:val="32"/>
        </w:rPr>
      </w:pPr>
      <w:r>
        <w:rPr>
          <w:rFonts w:ascii="楷体" w:eastAsia="楷体" w:hAnsi="楷体" w:hint="eastAsia"/>
          <w:color w:val="484848"/>
          <w:sz w:val="32"/>
          <w:szCs w:val="32"/>
        </w:rPr>
        <w:t>（一）核对信息。</w:t>
      </w:r>
    </w:p>
    <w:p w14:paraId="639540C4" w14:textId="77777777" w:rsidR="00BD184E" w:rsidRDefault="00DF4662" w:rsidP="005A74AE">
      <w:pPr>
        <w:pStyle w:val="a7"/>
        <w:spacing w:before="0" w:beforeAutospacing="0" w:after="0" w:afterAutospacing="0"/>
        <w:ind w:firstLineChars="200" w:firstLine="640"/>
        <w:jc w:val="both"/>
        <w:rPr>
          <w:rFonts w:ascii="仿宋" w:eastAsia="仿宋" w:hAnsi="仿宋"/>
          <w:color w:val="484848"/>
          <w:sz w:val="32"/>
          <w:szCs w:val="32"/>
        </w:rPr>
      </w:pPr>
      <w:r>
        <w:rPr>
          <w:rFonts w:ascii="仿宋" w:eastAsia="仿宋" w:hAnsi="仿宋" w:hint="eastAsia"/>
          <w:color w:val="484848"/>
          <w:sz w:val="32"/>
          <w:szCs w:val="32"/>
        </w:rPr>
        <w:t>核对采集管标签与混采登记表信息，确保准确完整，编号一致。</w:t>
      </w:r>
    </w:p>
    <w:p w14:paraId="78766E42" w14:textId="77777777" w:rsidR="00BD184E" w:rsidRDefault="00DF4662" w:rsidP="005A74AE">
      <w:pPr>
        <w:pStyle w:val="a7"/>
        <w:spacing w:before="0" w:beforeAutospacing="0" w:after="0" w:afterAutospacing="0"/>
        <w:ind w:firstLineChars="200" w:firstLine="640"/>
        <w:jc w:val="both"/>
        <w:rPr>
          <w:rFonts w:ascii="楷体" w:eastAsia="楷体" w:hAnsi="楷体"/>
          <w:color w:val="484848"/>
          <w:sz w:val="32"/>
          <w:szCs w:val="32"/>
        </w:rPr>
      </w:pPr>
      <w:r>
        <w:rPr>
          <w:rFonts w:ascii="楷体" w:eastAsia="楷体" w:hAnsi="楷体" w:hint="eastAsia"/>
          <w:color w:val="484848"/>
          <w:sz w:val="32"/>
          <w:szCs w:val="32"/>
        </w:rPr>
        <w:t>（二）标本放置要求。</w:t>
      </w:r>
    </w:p>
    <w:p w14:paraId="15416D1B" w14:textId="77777777" w:rsidR="00BD184E" w:rsidRDefault="00DF4662" w:rsidP="005A74AE">
      <w:pPr>
        <w:pStyle w:val="a7"/>
        <w:spacing w:before="0" w:beforeAutospacing="0" w:after="0" w:afterAutospacing="0"/>
        <w:ind w:firstLineChars="200" w:firstLine="640"/>
        <w:jc w:val="both"/>
        <w:rPr>
          <w:rFonts w:ascii="仿宋" w:eastAsia="仿宋" w:hAnsi="仿宋"/>
          <w:color w:val="484848"/>
          <w:sz w:val="32"/>
          <w:szCs w:val="32"/>
        </w:rPr>
      </w:pPr>
      <w:r>
        <w:rPr>
          <w:rFonts w:ascii="仿宋" w:eastAsia="仿宋" w:hAnsi="仿宋" w:hint="eastAsia"/>
          <w:color w:val="484848"/>
          <w:sz w:val="32"/>
          <w:szCs w:val="32"/>
        </w:rPr>
        <w:t>将核对后的采集管放入透明塑料密封袋（一层容器）中并封严袋口，用75%乙醇喷洒密封袋外部。将密封袋放入二层容器（可选内配适量吸湿材料的包装盒或双层医用垃圾袋），密封后用75%乙醇喷洒消毒。将二层容器放入具有“生物危害”标识的专用标本转运箱（推荐使用符合《危险品航空安全运输技术细则》A类物品运输UN2814标准的转运箱），二层容器和转运</w:t>
      </w:r>
      <w:proofErr w:type="gramStart"/>
      <w:r>
        <w:rPr>
          <w:rFonts w:ascii="仿宋" w:eastAsia="仿宋" w:hAnsi="仿宋" w:hint="eastAsia"/>
          <w:color w:val="484848"/>
          <w:sz w:val="32"/>
          <w:szCs w:val="32"/>
        </w:rPr>
        <w:t>箱之间</w:t>
      </w:r>
      <w:proofErr w:type="gramEnd"/>
      <w:r>
        <w:rPr>
          <w:rFonts w:ascii="仿宋" w:eastAsia="仿宋" w:hAnsi="仿宋" w:hint="eastAsia"/>
          <w:color w:val="484848"/>
          <w:sz w:val="32"/>
          <w:szCs w:val="32"/>
        </w:rPr>
        <w:t>应当放置降温凝胶冰袋。二层容器应当固定在转运箱中，保持标本直立。密封转运箱后，使用75%乙醇喷洒消毒，转运箱表面洁净无污染。</w:t>
      </w:r>
    </w:p>
    <w:p w14:paraId="015FB119" w14:textId="77777777" w:rsidR="00BD184E" w:rsidRDefault="00DF4662" w:rsidP="005A74AE">
      <w:pPr>
        <w:pStyle w:val="a7"/>
        <w:spacing w:before="0" w:beforeAutospacing="0" w:after="0" w:afterAutospacing="0"/>
        <w:ind w:firstLineChars="200" w:firstLine="640"/>
        <w:jc w:val="both"/>
        <w:rPr>
          <w:rFonts w:ascii="楷体" w:eastAsia="楷体" w:hAnsi="楷体"/>
          <w:color w:val="484848"/>
          <w:sz w:val="32"/>
          <w:szCs w:val="32"/>
        </w:rPr>
      </w:pPr>
      <w:r>
        <w:rPr>
          <w:rFonts w:ascii="楷体" w:eastAsia="楷体" w:hAnsi="楷体" w:hint="eastAsia"/>
          <w:color w:val="484848"/>
          <w:sz w:val="32"/>
          <w:szCs w:val="32"/>
        </w:rPr>
        <w:t>（三）标本转运要求。</w:t>
      </w:r>
    </w:p>
    <w:p w14:paraId="7C2A19FD" w14:textId="77777777" w:rsidR="00BD184E" w:rsidRDefault="00DF4662" w:rsidP="005A74AE">
      <w:pPr>
        <w:pStyle w:val="a7"/>
        <w:spacing w:before="0" w:beforeAutospacing="0" w:after="0" w:afterAutospacing="0"/>
        <w:ind w:firstLineChars="200" w:firstLine="640"/>
        <w:jc w:val="both"/>
        <w:rPr>
          <w:rFonts w:ascii="仿宋" w:eastAsia="仿宋" w:hAnsi="仿宋"/>
          <w:color w:val="484848"/>
          <w:sz w:val="32"/>
          <w:szCs w:val="32"/>
        </w:rPr>
      </w:pPr>
      <w:r>
        <w:rPr>
          <w:rFonts w:ascii="仿宋" w:eastAsia="仿宋" w:hAnsi="仿宋" w:hint="eastAsia"/>
          <w:color w:val="484848"/>
          <w:sz w:val="32"/>
          <w:szCs w:val="32"/>
        </w:rPr>
        <w:t>标准转运</w:t>
      </w:r>
      <w:proofErr w:type="gramStart"/>
      <w:r>
        <w:rPr>
          <w:rFonts w:ascii="仿宋" w:eastAsia="仿宋" w:hAnsi="仿宋" w:hint="eastAsia"/>
          <w:color w:val="484848"/>
          <w:sz w:val="32"/>
          <w:szCs w:val="32"/>
        </w:rPr>
        <w:t>箱应当</w:t>
      </w:r>
      <w:proofErr w:type="gramEnd"/>
      <w:r>
        <w:rPr>
          <w:rFonts w:ascii="仿宋" w:eastAsia="仿宋" w:hAnsi="仿宋" w:hint="eastAsia"/>
          <w:color w:val="484848"/>
          <w:sz w:val="32"/>
          <w:szCs w:val="32"/>
        </w:rPr>
        <w:t>由专门标本运送人员负责运送。标本应当在采集后2—4小时内送至实验室。混采登记表放入独立密封袋，随转运箱一同转运。不能立即送检的，应当配备专门的冰箱或冷藏箱保存，并做好标本接收、保存登记。标本采集后24小时内可置于4℃保存。</w:t>
      </w:r>
    </w:p>
    <w:p w14:paraId="7C39E646" w14:textId="77777777" w:rsidR="00BD184E" w:rsidRDefault="00DF4662" w:rsidP="005A74AE">
      <w:pPr>
        <w:pStyle w:val="a7"/>
        <w:spacing w:before="0" w:beforeAutospacing="0" w:after="0" w:afterAutospacing="0"/>
        <w:ind w:firstLineChars="200" w:firstLine="640"/>
        <w:jc w:val="both"/>
        <w:rPr>
          <w:rFonts w:ascii="黑体" w:eastAsia="黑体" w:hAnsi="黑体"/>
          <w:color w:val="484848"/>
          <w:sz w:val="32"/>
          <w:szCs w:val="32"/>
        </w:rPr>
      </w:pPr>
      <w:r>
        <w:rPr>
          <w:rFonts w:ascii="黑体" w:eastAsia="黑体" w:hAnsi="黑体" w:hint="eastAsia"/>
          <w:color w:val="484848"/>
          <w:sz w:val="32"/>
          <w:szCs w:val="32"/>
        </w:rPr>
        <w:t>五、实验室接收</w:t>
      </w:r>
    </w:p>
    <w:p w14:paraId="64E03FD8" w14:textId="77777777" w:rsidR="00BD184E" w:rsidRDefault="00DF4662" w:rsidP="005A74AE">
      <w:pPr>
        <w:pStyle w:val="a7"/>
        <w:spacing w:before="0" w:beforeAutospacing="0" w:after="0" w:afterAutospacing="0"/>
        <w:ind w:firstLineChars="200" w:firstLine="640"/>
        <w:jc w:val="both"/>
        <w:rPr>
          <w:rFonts w:ascii="楷体" w:eastAsia="楷体" w:hAnsi="楷体"/>
          <w:color w:val="484848"/>
          <w:sz w:val="32"/>
          <w:szCs w:val="32"/>
        </w:rPr>
      </w:pPr>
      <w:r>
        <w:rPr>
          <w:rFonts w:ascii="楷体" w:eastAsia="楷体" w:hAnsi="楷体" w:hint="eastAsia"/>
          <w:color w:val="484848"/>
          <w:sz w:val="32"/>
          <w:szCs w:val="32"/>
        </w:rPr>
        <w:t>（一）标本签收。</w:t>
      </w:r>
    </w:p>
    <w:p w14:paraId="0FCF37DF" w14:textId="77777777" w:rsidR="00BD184E" w:rsidRDefault="00DF4662" w:rsidP="005A74AE">
      <w:pPr>
        <w:pStyle w:val="a7"/>
        <w:spacing w:before="0" w:beforeAutospacing="0" w:after="0" w:afterAutospacing="0"/>
        <w:ind w:firstLineChars="200" w:firstLine="640"/>
        <w:jc w:val="both"/>
        <w:rPr>
          <w:rFonts w:ascii="仿宋" w:eastAsia="仿宋" w:hAnsi="仿宋"/>
          <w:color w:val="484848"/>
          <w:sz w:val="32"/>
          <w:szCs w:val="32"/>
        </w:rPr>
      </w:pPr>
      <w:r>
        <w:rPr>
          <w:rFonts w:ascii="仿宋" w:eastAsia="仿宋" w:hAnsi="仿宋" w:hint="eastAsia"/>
          <w:color w:val="484848"/>
          <w:sz w:val="32"/>
          <w:szCs w:val="32"/>
        </w:rPr>
        <w:lastRenderedPageBreak/>
        <w:t>运送和接收人员应当对标本进行双签收。接收人员检查混采登记表是否填写完整，被检者信息是否可追溯，转运箱、二层容器有无破损。</w:t>
      </w:r>
    </w:p>
    <w:p w14:paraId="2203795A" w14:textId="77777777" w:rsidR="00BD184E" w:rsidRDefault="00DF4662" w:rsidP="005A74AE">
      <w:pPr>
        <w:pStyle w:val="a7"/>
        <w:spacing w:before="0" w:beforeAutospacing="0" w:after="0" w:afterAutospacing="0"/>
        <w:ind w:firstLineChars="200" w:firstLine="640"/>
        <w:jc w:val="both"/>
        <w:rPr>
          <w:rFonts w:ascii="楷体" w:eastAsia="楷体" w:hAnsi="楷体"/>
          <w:color w:val="484848"/>
          <w:sz w:val="32"/>
          <w:szCs w:val="32"/>
        </w:rPr>
      </w:pPr>
      <w:r>
        <w:rPr>
          <w:rFonts w:ascii="楷体" w:eastAsia="楷体" w:hAnsi="楷体" w:hint="eastAsia"/>
          <w:color w:val="484848"/>
          <w:sz w:val="32"/>
          <w:szCs w:val="32"/>
        </w:rPr>
        <w:t>（二）标本打开。</w:t>
      </w:r>
    </w:p>
    <w:p w14:paraId="2D0FDE30" w14:textId="77777777" w:rsidR="00BD184E" w:rsidRDefault="00DF4662" w:rsidP="005A74AE">
      <w:pPr>
        <w:pStyle w:val="a7"/>
        <w:spacing w:before="0" w:beforeAutospacing="0" w:after="0" w:afterAutospacing="0"/>
        <w:ind w:firstLineChars="200" w:firstLine="640"/>
        <w:jc w:val="both"/>
        <w:rPr>
          <w:rFonts w:ascii="仿宋" w:eastAsia="仿宋" w:hAnsi="仿宋"/>
          <w:color w:val="484848"/>
          <w:sz w:val="32"/>
          <w:szCs w:val="32"/>
        </w:rPr>
      </w:pPr>
      <w:r>
        <w:rPr>
          <w:rFonts w:ascii="仿宋" w:eastAsia="仿宋" w:hAnsi="仿宋" w:hint="eastAsia"/>
          <w:color w:val="484848"/>
          <w:sz w:val="32"/>
          <w:szCs w:val="32"/>
        </w:rPr>
        <w:t>应当在生物安全二级实验室核心区打开转运箱，取出二层容器。在生物安全柜中打开二层容器，用75%乙醇喷洒或擦拭消毒后，取出密封袋，用75%乙醇试剂喷洒或擦拭消毒，并检查是否密封完好。</w:t>
      </w:r>
    </w:p>
    <w:p w14:paraId="59222FD0" w14:textId="77777777" w:rsidR="00BD184E" w:rsidRDefault="00DF4662" w:rsidP="005A74AE">
      <w:pPr>
        <w:pStyle w:val="a7"/>
        <w:spacing w:before="0" w:beforeAutospacing="0" w:after="0" w:afterAutospacing="0"/>
        <w:ind w:firstLineChars="200" w:firstLine="640"/>
        <w:jc w:val="both"/>
        <w:rPr>
          <w:rFonts w:ascii="楷体" w:eastAsia="楷体" w:hAnsi="楷体"/>
          <w:color w:val="484848"/>
          <w:sz w:val="32"/>
          <w:szCs w:val="32"/>
        </w:rPr>
      </w:pPr>
      <w:r>
        <w:rPr>
          <w:rFonts w:ascii="楷体" w:eastAsia="楷体" w:hAnsi="楷体" w:hint="eastAsia"/>
          <w:color w:val="484848"/>
          <w:sz w:val="32"/>
          <w:szCs w:val="32"/>
        </w:rPr>
        <w:t>（三）标本检查。</w:t>
      </w:r>
    </w:p>
    <w:p w14:paraId="2B7EB8BE" w14:textId="77777777" w:rsidR="00BD184E" w:rsidRDefault="00DF4662" w:rsidP="005A74AE">
      <w:pPr>
        <w:pStyle w:val="a7"/>
        <w:spacing w:before="0" w:beforeAutospacing="0" w:after="0" w:afterAutospacing="0"/>
        <w:ind w:firstLineChars="200" w:firstLine="640"/>
        <w:jc w:val="both"/>
        <w:rPr>
          <w:rFonts w:ascii="仿宋" w:eastAsia="仿宋" w:hAnsi="仿宋"/>
          <w:color w:val="484848"/>
          <w:sz w:val="32"/>
          <w:szCs w:val="32"/>
        </w:rPr>
      </w:pPr>
      <w:r>
        <w:rPr>
          <w:rFonts w:ascii="仿宋" w:eastAsia="仿宋" w:hAnsi="仿宋" w:hint="eastAsia"/>
          <w:color w:val="484848"/>
          <w:sz w:val="32"/>
          <w:szCs w:val="32"/>
        </w:rPr>
        <w:t>核对采集管标签与混采登记表信息是否一致。取出采集管，检查管壁是否有破损、管口渗漏等，确认无破损、渗漏后用75%乙醇喷洒或擦拭消毒。如有破损、渗漏，应当立即停止操作，用吸水纸覆盖后使用0.55%含氯消毒剂进行消毒处理，做好不合格登记后销毁。</w:t>
      </w:r>
    </w:p>
    <w:p w14:paraId="14CFD66A" w14:textId="77777777" w:rsidR="00BD184E" w:rsidRDefault="00DF4662" w:rsidP="005A74AE">
      <w:pPr>
        <w:pStyle w:val="a7"/>
        <w:spacing w:before="0" w:beforeAutospacing="0" w:after="0" w:afterAutospacing="0"/>
        <w:ind w:firstLineChars="200" w:firstLine="640"/>
        <w:jc w:val="both"/>
        <w:rPr>
          <w:rFonts w:ascii="楷体" w:eastAsia="楷体" w:hAnsi="楷体"/>
          <w:color w:val="484848"/>
          <w:sz w:val="32"/>
          <w:szCs w:val="32"/>
        </w:rPr>
      </w:pPr>
      <w:r>
        <w:rPr>
          <w:rFonts w:ascii="楷体" w:eastAsia="楷体" w:hAnsi="楷体" w:hint="eastAsia"/>
          <w:color w:val="484848"/>
          <w:sz w:val="32"/>
          <w:szCs w:val="32"/>
        </w:rPr>
        <w:t>（四）标本保存。</w:t>
      </w:r>
    </w:p>
    <w:p w14:paraId="0B2923C5" w14:textId="77777777" w:rsidR="00BD184E" w:rsidRDefault="00DF4662" w:rsidP="005A74AE">
      <w:pPr>
        <w:pStyle w:val="a7"/>
        <w:spacing w:before="0" w:beforeAutospacing="0" w:after="0" w:afterAutospacing="0"/>
        <w:ind w:firstLineChars="200" w:firstLine="640"/>
        <w:jc w:val="both"/>
        <w:rPr>
          <w:rFonts w:ascii="仿宋" w:eastAsia="仿宋" w:hAnsi="仿宋"/>
          <w:color w:val="484848"/>
          <w:sz w:val="32"/>
          <w:szCs w:val="32"/>
        </w:rPr>
      </w:pPr>
      <w:r>
        <w:rPr>
          <w:rFonts w:ascii="仿宋" w:eastAsia="仿宋" w:hAnsi="仿宋" w:hint="eastAsia"/>
          <w:color w:val="484848"/>
          <w:sz w:val="32"/>
          <w:szCs w:val="32"/>
        </w:rPr>
        <w:t>不能及时检测的标本放入专用冰箱保存。24小时内检测的标本可置于4℃保存。24小时内无法检测的标本应当置于-70℃或以下温度保存。如无-70℃保存条件，则于-20℃暂存。避免标本反复冻融。设立专库或专柜保存标本，双人双锁管理。</w:t>
      </w:r>
    </w:p>
    <w:p w14:paraId="6DF190CE" w14:textId="77777777" w:rsidR="00BD184E" w:rsidRDefault="00DF4662" w:rsidP="005A74AE">
      <w:pPr>
        <w:pStyle w:val="a7"/>
        <w:spacing w:before="0" w:beforeAutospacing="0" w:after="0" w:afterAutospacing="0"/>
        <w:ind w:firstLineChars="200" w:firstLine="640"/>
        <w:jc w:val="both"/>
        <w:rPr>
          <w:rFonts w:ascii="楷体" w:eastAsia="楷体" w:hAnsi="楷体"/>
          <w:color w:val="484848"/>
          <w:sz w:val="32"/>
          <w:szCs w:val="32"/>
        </w:rPr>
      </w:pPr>
      <w:r>
        <w:rPr>
          <w:rFonts w:ascii="楷体" w:eastAsia="楷体" w:hAnsi="楷体" w:hint="eastAsia"/>
          <w:color w:val="484848"/>
          <w:sz w:val="32"/>
          <w:szCs w:val="32"/>
        </w:rPr>
        <w:t>（五）转运容器移出。</w:t>
      </w:r>
    </w:p>
    <w:p w14:paraId="22765021" w14:textId="77777777" w:rsidR="00BD184E" w:rsidRDefault="00DF4662" w:rsidP="005A74AE">
      <w:pPr>
        <w:pStyle w:val="a7"/>
        <w:spacing w:before="0" w:beforeAutospacing="0" w:after="0" w:afterAutospacing="0"/>
        <w:ind w:firstLineChars="200" w:firstLine="640"/>
        <w:jc w:val="both"/>
        <w:rPr>
          <w:rFonts w:ascii="仿宋" w:eastAsia="仿宋" w:hAnsi="仿宋"/>
          <w:color w:val="484848"/>
          <w:sz w:val="32"/>
          <w:szCs w:val="32"/>
        </w:rPr>
      </w:pPr>
      <w:r>
        <w:rPr>
          <w:rFonts w:ascii="仿宋" w:eastAsia="仿宋" w:hAnsi="仿宋" w:hint="eastAsia"/>
          <w:color w:val="484848"/>
          <w:sz w:val="32"/>
          <w:szCs w:val="32"/>
        </w:rPr>
        <w:t>使用后的二层容器内外壁经75%乙醇擦拭消毒后移出生物安全柜，实验结束后使用紫外灯照射消毒。</w:t>
      </w:r>
    </w:p>
    <w:p w14:paraId="26CB76C1" w14:textId="77777777" w:rsidR="00BD184E" w:rsidRDefault="00DF4662" w:rsidP="005A74AE">
      <w:pPr>
        <w:pStyle w:val="a7"/>
        <w:spacing w:before="0" w:beforeAutospacing="0" w:after="0" w:afterAutospacing="0"/>
        <w:ind w:firstLineChars="200" w:firstLine="640"/>
        <w:jc w:val="both"/>
        <w:rPr>
          <w:rFonts w:ascii="黑体" w:eastAsia="黑体" w:hAnsi="黑体"/>
          <w:color w:val="484848"/>
          <w:sz w:val="32"/>
          <w:szCs w:val="32"/>
        </w:rPr>
      </w:pPr>
      <w:r>
        <w:rPr>
          <w:rFonts w:ascii="黑体" w:eastAsia="黑体" w:hAnsi="黑体" w:hint="eastAsia"/>
          <w:color w:val="484848"/>
          <w:sz w:val="32"/>
          <w:szCs w:val="32"/>
        </w:rPr>
        <w:lastRenderedPageBreak/>
        <w:t>六、标本检测与质量控制</w:t>
      </w:r>
    </w:p>
    <w:p w14:paraId="798CBD9A" w14:textId="77777777" w:rsidR="00BD184E" w:rsidRDefault="00DF4662" w:rsidP="005A74AE">
      <w:pPr>
        <w:pStyle w:val="a7"/>
        <w:spacing w:before="0" w:beforeAutospacing="0" w:after="0" w:afterAutospacing="0"/>
        <w:ind w:firstLineChars="200" w:firstLine="640"/>
        <w:jc w:val="both"/>
        <w:rPr>
          <w:rFonts w:ascii="楷体" w:eastAsia="楷体" w:hAnsi="楷体"/>
          <w:color w:val="484848"/>
          <w:sz w:val="32"/>
          <w:szCs w:val="32"/>
        </w:rPr>
      </w:pPr>
      <w:r>
        <w:rPr>
          <w:rFonts w:ascii="楷体" w:eastAsia="楷体" w:hAnsi="楷体" w:hint="eastAsia"/>
          <w:color w:val="484848"/>
          <w:sz w:val="32"/>
          <w:szCs w:val="32"/>
        </w:rPr>
        <w:t>（一）标本检测。</w:t>
      </w:r>
    </w:p>
    <w:p w14:paraId="4036F7C4" w14:textId="77777777" w:rsidR="00BD184E" w:rsidRDefault="00DF4662" w:rsidP="005A74AE">
      <w:pPr>
        <w:pStyle w:val="a7"/>
        <w:spacing w:before="0" w:beforeAutospacing="0" w:after="0" w:afterAutospacing="0"/>
        <w:ind w:firstLineChars="200" w:firstLine="640"/>
        <w:jc w:val="both"/>
        <w:rPr>
          <w:rFonts w:ascii="仿宋" w:eastAsia="仿宋" w:hAnsi="仿宋"/>
          <w:color w:val="484848"/>
          <w:sz w:val="32"/>
          <w:szCs w:val="32"/>
        </w:rPr>
      </w:pPr>
      <w:r>
        <w:rPr>
          <w:rFonts w:ascii="仿宋" w:eastAsia="仿宋" w:hAnsi="仿宋" w:hint="eastAsia"/>
          <w:color w:val="484848"/>
          <w:sz w:val="32"/>
          <w:szCs w:val="32"/>
        </w:rPr>
        <w:t>实验室接收标本后，应当立即进行检测。检测前进行充分震荡洗脱，之后进行核酸提取及扩增实验。推荐选用包含针对新冠病毒开放读码框1ab（open reading frame 1ab，ORF1ab）和核壳蛋白（nucleocapsid protein，N）基因区域的试剂。若使用核酸提取仪，核酸提取试剂应与核酸提取仪配套使用。扩增试剂</w:t>
      </w:r>
      <w:proofErr w:type="gramStart"/>
      <w:r>
        <w:rPr>
          <w:rFonts w:ascii="仿宋" w:eastAsia="仿宋" w:hAnsi="仿宋" w:hint="eastAsia"/>
          <w:color w:val="484848"/>
          <w:sz w:val="32"/>
          <w:szCs w:val="32"/>
        </w:rPr>
        <w:t>盒应当</w:t>
      </w:r>
      <w:proofErr w:type="gramEnd"/>
      <w:r>
        <w:rPr>
          <w:rFonts w:ascii="仿宋" w:eastAsia="仿宋" w:hAnsi="仿宋" w:hint="eastAsia"/>
          <w:color w:val="484848"/>
          <w:sz w:val="32"/>
          <w:szCs w:val="32"/>
        </w:rPr>
        <w:t>选用国家药品监督管理局批准带有注册文号的试剂盒。建议选择检测限低、灵敏度高的检测试剂盒。</w:t>
      </w:r>
    </w:p>
    <w:p w14:paraId="24887F87" w14:textId="77777777" w:rsidR="00BD184E" w:rsidRDefault="00DF4662" w:rsidP="005A74AE">
      <w:pPr>
        <w:pStyle w:val="a7"/>
        <w:spacing w:before="0" w:beforeAutospacing="0" w:after="0" w:afterAutospacing="0"/>
        <w:ind w:firstLineChars="200" w:firstLine="640"/>
        <w:jc w:val="both"/>
        <w:rPr>
          <w:rFonts w:ascii="楷体" w:eastAsia="楷体" w:hAnsi="楷体"/>
          <w:color w:val="484848"/>
          <w:sz w:val="32"/>
          <w:szCs w:val="32"/>
        </w:rPr>
      </w:pPr>
      <w:r>
        <w:rPr>
          <w:rFonts w:ascii="楷体" w:eastAsia="楷体" w:hAnsi="楷体" w:hint="eastAsia"/>
          <w:color w:val="484848"/>
          <w:sz w:val="32"/>
          <w:szCs w:val="32"/>
        </w:rPr>
        <w:t>（二）检测质控。</w:t>
      </w:r>
    </w:p>
    <w:p w14:paraId="422D6153" w14:textId="77777777" w:rsidR="00BD184E" w:rsidRDefault="00DF4662" w:rsidP="005A74AE">
      <w:pPr>
        <w:pStyle w:val="a7"/>
        <w:spacing w:before="0" w:beforeAutospacing="0" w:after="0" w:afterAutospacing="0"/>
        <w:ind w:firstLineChars="200" w:firstLine="640"/>
        <w:jc w:val="both"/>
        <w:rPr>
          <w:rFonts w:ascii="仿宋" w:eastAsia="仿宋" w:hAnsi="仿宋"/>
          <w:color w:val="484848"/>
          <w:sz w:val="32"/>
          <w:szCs w:val="32"/>
        </w:rPr>
      </w:pPr>
      <w:r>
        <w:rPr>
          <w:rFonts w:ascii="仿宋" w:eastAsia="仿宋" w:hAnsi="仿宋" w:hint="eastAsia"/>
          <w:color w:val="484848"/>
          <w:sz w:val="32"/>
          <w:szCs w:val="32"/>
        </w:rPr>
        <w:t>每批检测至少有1份弱阳性质控品（</w:t>
      </w:r>
      <w:proofErr w:type="gramStart"/>
      <w:r>
        <w:rPr>
          <w:rFonts w:ascii="仿宋" w:eastAsia="仿宋" w:hAnsi="仿宋" w:hint="eastAsia"/>
          <w:color w:val="484848"/>
          <w:sz w:val="32"/>
          <w:szCs w:val="32"/>
        </w:rPr>
        <w:t>第三方质控</w:t>
      </w:r>
      <w:proofErr w:type="gramEnd"/>
      <w:r>
        <w:rPr>
          <w:rFonts w:ascii="仿宋" w:eastAsia="仿宋" w:hAnsi="仿宋" w:hint="eastAsia"/>
          <w:color w:val="484848"/>
          <w:sz w:val="32"/>
          <w:szCs w:val="32"/>
        </w:rPr>
        <w:t>品，通常为检出限的3倍左右）、2份阴性质控品（</w:t>
      </w:r>
      <w:proofErr w:type="gramStart"/>
      <w:r>
        <w:rPr>
          <w:rFonts w:ascii="仿宋" w:eastAsia="仿宋" w:hAnsi="仿宋" w:hint="eastAsia"/>
          <w:color w:val="484848"/>
          <w:sz w:val="32"/>
          <w:szCs w:val="32"/>
        </w:rPr>
        <w:t>试剂盒自带</w:t>
      </w:r>
      <w:proofErr w:type="gramEnd"/>
      <w:r>
        <w:rPr>
          <w:rFonts w:ascii="仿宋" w:eastAsia="仿宋" w:hAnsi="仿宋" w:hint="eastAsia"/>
          <w:color w:val="484848"/>
          <w:sz w:val="32"/>
          <w:szCs w:val="32"/>
        </w:rPr>
        <w:t>阴性质控品）和1份空白对照品（生理盐水或焦碳酸二乙酯处理水）。空白对照品应当开盖放置在提取仪或操作台面上过夜，用于环境污染评估。</w:t>
      </w:r>
      <w:proofErr w:type="gramStart"/>
      <w:r>
        <w:rPr>
          <w:rFonts w:ascii="仿宋" w:eastAsia="仿宋" w:hAnsi="仿宋" w:hint="eastAsia"/>
          <w:color w:val="484848"/>
          <w:sz w:val="32"/>
          <w:szCs w:val="32"/>
        </w:rPr>
        <w:t>质控品随机</w:t>
      </w:r>
      <w:proofErr w:type="gramEnd"/>
      <w:r>
        <w:rPr>
          <w:rFonts w:ascii="仿宋" w:eastAsia="仿宋" w:hAnsi="仿宋" w:hint="eastAsia"/>
          <w:color w:val="484848"/>
          <w:sz w:val="32"/>
          <w:szCs w:val="32"/>
        </w:rPr>
        <w:t>放在临床标本中，参与从提取到扩增的全过程。</w:t>
      </w:r>
    </w:p>
    <w:p w14:paraId="13E29A64" w14:textId="77777777" w:rsidR="00BD184E" w:rsidRDefault="00DF4662" w:rsidP="005A74AE">
      <w:pPr>
        <w:pStyle w:val="a7"/>
        <w:spacing w:before="0" w:beforeAutospacing="0" w:after="0" w:afterAutospacing="0"/>
        <w:ind w:firstLineChars="200" w:firstLine="640"/>
        <w:jc w:val="both"/>
        <w:rPr>
          <w:rFonts w:ascii="楷体" w:eastAsia="楷体" w:hAnsi="楷体"/>
          <w:color w:val="484848"/>
          <w:sz w:val="32"/>
          <w:szCs w:val="32"/>
        </w:rPr>
      </w:pPr>
      <w:r>
        <w:rPr>
          <w:rFonts w:ascii="楷体" w:eastAsia="楷体" w:hAnsi="楷体" w:hint="eastAsia"/>
          <w:color w:val="484848"/>
          <w:sz w:val="32"/>
          <w:szCs w:val="32"/>
        </w:rPr>
        <w:t>（三）质控结果。</w:t>
      </w:r>
    </w:p>
    <w:p w14:paraId="4EF64708" w14:textId="77777777" w:rsidR="00BD184E" w:rsidRDefault="00DF4662" w:rsidP="005A74AE">
      <w:pPr>
        <w:pStyle w:val="a7"/>
        <w:spacing w:before="0" w:beforeAutospacing="0" w:after="0" w:afterAutospacing="0"/>
        <w:ind w:firstLineChars="200" w:firstLine="640"/>
        <w:jc w:val="both"/>
        <w:rPr>
          <w:rFonts w:ascii="仿宋" w:eastAsia="仿宋" w:hAnsi="仿宋"/>
          <w:color w:val="484848"/>
          <w:sz w:val="32"/>
          <w:szCs w:val="32"/>
        </w:rPr>
      </w:pPr>
      <w:r>
        <w:rPr>
          <w:rFonts w:ascii="仿宋" w:eastAsia="仿宋" w:hAnsi="仿宋" w:hint="eastAsia"/>
          <w:color w:val="484848"/>
          <w:sz w:val="32"/>
          <w:szCs w:val="32"/>
        </w:rPr>
        <w:t>弱阳性</w:t>
      </w:r>
      <w:proofErr w:type="gramStart"/>
      <w:r>
        <w:rPr>
          <w:rFonts w:ascii="仿宋" w:eastAsia="仿宋" w:hAnsi="仿宋" w:hint="eastAsia"/>
          <w:color w:val="484848"/>
          <w:sz w:val="32"/>
          <w:szCs w:val="32"/>
        </w:rPr>
        <w:t>质控品测定</w:t>
      </w:r>
      <w:proofErr w:type="gramEnd"/>
      <w:r>
        <w:rPr>
          <w:rFonts w:ascii="仿宋" w:eastAsia="仿宋" w:hAnsi="仿宋" w:hint="eastAsia"/>
          <w:color w:val="484848"/>
          <w:sz w:val="32"/>
          <w:szCs w:val="32"/>
        </w:rPr>
        <w:t>为阳性，阴性</w:t>
      </w:r>
      <w:proofErr w:type="gramStart"/>
      <w:r>
        <w:rPr>
          <w:rFonts w:ascii="仿宋" w:eastAsia="仿宋" w:hAnsi="仿宋" w:hint="eastAsia"/>
          <w:color w:val="484848"/>
          <w:sz w:val="32"/>
          <w:szCs w:val="32"/>
        </w:rPr>
        <w:t>质控品全部</w:t>
      </w:r>
      <w:proofErr w:type="gramEnd"/>
      <w:r>
        <w:rPr>
          <w:rFonts w:ascii="仿宋" w:eastAsia="仿宋" w:hAnsi="仿宋" w:hint="eastAsia"/>
          <w:color w:val="484848"/>
          <w:sz w:val="32"/>
          <w:szCs w:val="32"/>
        </w:rPr>
        <w:t>测定为阴性，视为在控。反之，则为失控，不可出具检测报告，应立即分析原因，必要时重新检测标本。</w:t>
      </w:r>
    </w:p>
    <w:p w14:paraId="3D082990" w14:textId="77777777" w:rsidR="00BD184E" w:rsidRDefault="00DF4662" w:rsidP="005A74AE">
      <w:pPr>
        <w:pStyle w:val="a7"/>
        <w:spacing w:before="0" w:beforeAutospacing="0" w:after="0" w:afterAutospacing="0"/>
        <w:ind w:firstLineChars="200" w:firstLine="640"/>
        <w:jc w:val="both"/>
        <w:rPr>
          <w:rFonts w:ascii="黑体" w:eastAsia="黑体" w:hAnsi="黑体"/>
          <w:color w:val="484848"/>
          <w:sz w:val="32"/>
          <w:szCs w:val="32"/>
        </w:rPr>
      </w:pPr>
      <w:r>
        <w:rPr>
          <w:rFonts w:ascii="黑体" w:eastAsia="黑体" w:hAnsi="黑体" w:hint="eastAsia"/>
          <w:color w:val="484848"/>
          <w:sz w:val="32"/>
          <w:szCs w:val="32"/>
        </w:rPr>
        <w:t>七、检验结果处理</w:t>
      </w:r>
    </w:p>
    <w:p w14:paraId="1022903F" w14:textId="77777777" w:rsidR="00BD184E" w:rsidRDefault="00DF4662" w:rsidP="005A74AE">
      <w:pPr>
        <w:pStyle w:val="a7"/>
        <w:spacing w:before="0" w:beforeAutospacing="0" w:after="0" w:afterAutospacing="0"/>
        <w:ind w:firstLineChars="200" w:firstLine="640"/>
        <w:jc w:val="both"/>
        <w:rPr>
          <w:rFonts w:ascii="仿宋" w:eastAsia="仿宋" w:hAnsi="仿宋"/>
          <w:color w:val="484848"/>
          <w:sz w:val="32"/>
          <w:szCs w:val="32"/>
        </w:rPr>
      </w:pPr>
      <w:r>
        <w:rPr>
          <w:rFonts w:ascii="仿宋" w:eastAsia="仿宋" w:hAnsi="仿宋" w:hint="eastAsia"/>
          <w:color w:val="484848"/>
          <w:sz w:val="32"/>
          <w:szCs w:val="32"/>
        </w:rPr>
        <w:t>新冠病毒核酸定性检测报告应当包括检测结果（检出/阳性、未检出/阴性）、方法学、检出限等。</w:t>
      </w:r>
    </w:p>
    <w:p w14:paraId="19E39D75" w14:textId="77777777" w:rsidR="00BD184E" w:rsidRDefault="00DF4662" w:rsidP="005A74AE">
      <w:pPr>
        <w:pStyle w:val="a7"/>
        <w:spacing w:before="0" w:beforeAutospacing="0" w:after="0" w:afterAutospacing="0"/>
        <w:ind w:firstLineChars="200" w:firstLine="640"/>
        <w:jc w:val="both"/>
        <w:rPr>
          <w:rFonts w:ascii="楷体" w:eastAsia="楷体" w:hAnsi="楷体"/>
          <w:color w:val="484848"/>
          <w:sz w:val="32"/>
          <w:szCs w:val="32"/>
        </w:rPr>
      </w:pPr>
      <w:r>
        <w:rPr>
          <w:rFonts w:ascii="楷体" w:eastAsia="楷体" w:hAnsi="楷体" w:hint="eastAsia"/>
          <w:color w:val="484848"/>
          <w:sz w:val="32"/>
          <w:szCs w:val="32"/>
        </w:rPr>
        <w:lastRenderedPageBreak/>
        <w:t>（一）结果判断。</w:t>
      </w:r>
    </w:p>
    <w:p w14:paraId="7BD10F0C" w14:textId="77777777" w:rsidR="00BD184E" w:rsidRDefault="00DF4662" w:rsidP="005A74AE">
      <w:pPr>
        <w:pStyle w:val="a7"/>
        <w:spacing w:before="0" w:beforeAutospacing="0" w:after="0" w:afterAutospacing="0"/>
        <w:ind w:firstLineChars="200" w:firstLine="640"/>
        <w:jc w:val="both"/>
        <w:rPr>
          <w:rFonts w:ascii="仿宋" w:eastAsia="仿宋" w:hAnsi="仿宋"/>
          <w:color w:val="484848"/>
          <w:sz w:val="32"/>
          <w:szCs w:val="32"/>
        </w:rPr>
      </w:pPr>
      <w:r>
        <w:rPr>
          <w:rFonts w:ascii="仿宋" w:eastAsia="仿宋" w:hAnsi="仿宋" w:hint="eastAsia"/>
          <w:color w:val="484848"/>
          <w:sz w:val="32"/>
          <w:szCs w:val="32"/>
        </w:rPr>
        <w:t>依据所用扩增试剂说明书，判断检测结果为未检出/阴性或者检出/阳性。</w:t>
      </w:r>
      <w:proofErr w:type="gramStart"/>
      <w:r>
        <w:rPr>
          <w:rFonts w:ascii="仿宋" w:eastAsia="仿宋" w:hAnsi="仿宋" w:hint="eastAsia"/>
          <w:color w:val="484848"/>
          <w:sz w:val="32"/>
          <w:szCs w:val="32"/>
        </w:rPr>
        <w:t>若结果</w:t>
      </w:r>
      <w:proofErr w:type="gramEnd"/>
      <w:r>
        <w:rPr>
          <w:rFonts w:ascii="仿宋" w:eastAsia="仿宋" w:hAnsi="仿宋" w:hint="eastAsia"/>
          <w:color w:val="484848"/>
          <w:sz w:val="32"/>
          <w:szCs w:val="32"/>
        </w:rPr>
        <w:t>处于灰区，建议作为混采阳性结果进行复核。</w:t>
      </w:r>
    </w:p>
    <w:p w14:paraId="6BB41A38" w14:textId="77777777" w:rsidR="00BD184E" w:rsidRDefault="00DF4662" w:rsidP="005A74AE">
      <w:pPr>
        <w:pStyle w:val="a7"/>
        <w:spacing w:before="0" w:beforeAutospacing="0" w:after="0" w:afterAutospacing="0"/>
        <w:ind w:firstLineChars="200" w:firstLine="640"/>
        <w:jc w:val="both"/>
        <w:rPr>
          <w:rFonts w:ascii="楷体" w:eastAsia="楷体" w:hAnsi="楷体"/>
          <w:color w:val="484848"/>
          <w:sz w:val="32"/>
          <w:szCs w:val="32"/>
        </w:rPr>
      </w:pPr>
      <w:r>
        <w:rPr>
          <w:rFonts w:ascii="楷体" w:eastAsia="楷体" w:hAnsi="楷体" w:hint="eastAsia"/>
          <w:color w:val="484848"/>
          <w:sz w:val="32"/>
          <w:szCs w:val="32"/>
        </w:rPr>
        <w:t>（二）阳性结果复核。</w:t>
      </w:r>
    </w:p>
    <w:p w14:paraId="3A4170E6" w14:textId="77777777" w:rsidR="00BD184E" w:rsidRDefault="00DF4662" w:rsidP="005A74AE">
      <w:pPr>
        <w:pStyle w:val="a7"/>
        <w:spacing w:before="0" w:beforeAutospacing="0" w:after="0" w:afterAutospacing="0"/>
        <w:ind w:firstLineChars="200" w:firstLine="640"/>
        <w:jc w:val="both"/>
        <w:rPr>
          <w:rFonts w:ascii="仿宋" w:eastAsia="仿宋" w:hAnsi="仿宋"/>
          <w:color w:val="484848"/>
          <w:sz w:val="32"/>
          <w:szCs w:val="32"/>
        </w:rPr>
      </w:pPr>
      <w:r>
        <w:rPr>
          <w:rFonts w:ascii="仿宋" w:eastAsia="仿宋" w:hAnsi="仿宋" w:hint="eastAsia"/>
          <w:color w:val="484848"/>
          <w:sz w:val="32"/>
          <w:szCs w:val="32"/>
        </w:rPr>
        <w:t>1.混采检测结果为阳性、</w:t>
      </w:r>
      <w:proofErr w:type="gramStart"/>
      <w:r>
        <w:rPr>
          <w:rFonts w:ascii="仿宋" w:eastAsia="仿宋" w:hAnsi="仿宋" w:hint="eastAsia"/>
          <w:color w:val="484848"/>
          <w:sz w:val="32"/>
          <w:szCs w:val="32"/>
        </w:rPr>
        <w:t>灰区或</w:t>
      </w:r>
      <w:proofErr w:type="gramEnd"/>
      <w:r>
        <w:rPr>
          <w:rFonts w:ascii="仿宋" w:eastAsia="仿宋" w:hAnsi="仿宋" w:hint="eastAsia"/>
          <w:color w:val="484848"/>
          <w:sz w:val="32"/>
          <w:szCs w:val="32"/>
        </w:rPr>
        <w:t>单个靶标阳性，通知相关部门对该混采管的10个受试者暂时单独隔离，并重新采集单管拭子进行复核。</w:t>
      </w:r>
    </w:p>
    <w:p w14:paraId="795B3056" w14:textId="77777777" w:rsidR="00BD184E" w:rsidRDefault="00DF4662" w:rsidP="005A74AE">
      <w:pPr>
        <w:pStyle w:val="a7"/>
        <w:spacing w:before="0" w:beforeAutospacing="0" w:after="0" w:afterAutospacing="0"/>
        <w:ind w:firstLineChars="200" w:firstLine="640"/>
        <w:jc w:val="both"/>
        <w:rPr>
          <w:rFonts w:ascii="仿宋" w:eastAsia="仿宋" w:hAnsi="仿宋"/>
          <w:color w:val="484848"/>
          <w:sz w:val="32"/>
          <w:szCs w:val="32"/>
        </w:rPr>
      </w:pPr>
      <w:r>
        <w:rPr>
          <w:rFonts w:ascii="仿宋" w:eastAsia="仿宋" w:hAnsi="仿宋" w:hint="eastAsia"/>
          <w:color w:val="484848"/>
          <w:sz w:val="32"/>
          <w:szCs w:val="32"/>
        </w:rPr>
        <w:t>2.复核单管核酸检测如均为阴性，则按照阴性结果回报。暂时隔离人员即解除隔离；如检测结果阳性，按程序上报。</w:t>
      </w:r>
    </w:p>
    <w:p w14:paraId="7C53C9FB" w14:textId="77777777" w:rsidR="00BD184E" w:rsidRDefault="00DF4662" w:rsidP="005A74AE">
      <w:pPr>
        <w:pStyle w:val="a7"/>
        <w:spacing w:before="0" w:beforeAutospacing="0" w:after="0" w:afterAutospacing="0"/>
        <w:ind w:firstLineChars="200" w:firstLine="640"/>
        <w:jc w:val="both"/>
        <w:rPr>
          <w:rFonts w:ascii="黑体" w:eastAsia="黑体" w:hAnsi="黑体"/>
          <w:color w:val="484848"/>
          <w:sz w:val="32"/>
          <w:szCs w:val="32"/>
        </w:rPr>
      </w:pPr>
      <w:r>
        <w:rPr>
          <w:rFonts w:ascii="黑体" w:eastAsia="黑体" w:hAnsi="黑体" w:hint="eastAsia"/>
          <w:color w:val="484848"/>
          <w:sz w:val="32"/>
          <w:szCs w:val="32"/>
        </w:rPr>
        <w:t>八、检测后样本处理</w:t>
      </w:r>
    </w:p>
    <w:p w14:paraId="1F54A582" w14:textId="77777777" w:rsidR="00BD184E" w:rsidRDefault="00DF4662" w:rsidP="005A74AE">
      <w:pPr>
        <w:pStyle w:val="a7"/>
        <w:spacing w:before="0" w:beforeAutospacing="0" w:after="0" w:afterAutospacing="0"/>
        <w:ind w:firstLineChars="200" w:firstLine="640"/>
        <w:jc w:val="both"/>
        <w:rPr>
          <w:rFonts w:ascii="仿宋" w:eastAsia="仿宋" w:hAnsi="仿宋"/>
          <w:color w:val="484848"/>
          <w:sz w:val="32"/>
          <w:szCs w:val="32"/>
        </w:rPr>
      </w:pPr>
      <w:r>
        <w:rPr>
          <w:rFonts w:ascii="仿宋" w:eastAsia="仿宋" w:hAnsi="仿宋" w:hint="eastAsia"/>
          <w:color w:val="484848"/>
          <w:sz w:val="32"/>
          <w:szCs w:val="32"/>
        </w:rPr>
        <w:t>检测后的标本应当尽快就地销毁，做好高压灭菌质量监控和消毒、销毁记录。</w:t>
      </w:r>
    </w:p>
    <w:p w14:paraId="3F4979C4" w14:textId="77777777" w:rsidR="00BD184E" w:rsidRDefault="00DF4662" w:rsidP="005A74AE">
      <w:pPr>
        <w:pStyle w:val="a7"/>
        <w:spacing w:before="0" w:beforeAutospacing="0" w:after="0" w:afterAutospacing="0"/>
        <w:ind w:firstLineChars="200" w:firstLine="640"/>
        <w:jc w:val="both"/>
        <w:rPr>
          <w:rFonts w:ascii="黑体" w:eastAsia="黑体" w:hAnsi="黑体"/>
          <w:color w:val="484848"/>
          <w:sz w:val="32"/>
          <w:szCs w:val="32"/>
        </w:rPr>
      </w:pPr>
      <w:r>
        <w:rPr>
          <w:rFonts w:ascii="黑体" w:eastAsia="黑体" w:hAnsi="黑体" w:hint="eastAsia"/>
          <w:color w:val="484848"/>
          <w:sz w:val="32"/>
          <w:szCs w:val="32"/>
        </w:rPr>
        <w:t>九、技术人员基本要求</w:t>
      </w:r>
    </w:p>
    <w:p w14:paraId="0DD2D19E" w14:textId="77777777" w:rsidR="00BD184E" w:rsidRDefault="00DF4662" w:rsidP="005A74AE">
      <w:pPr>
        <w:pStyle w:val="a7"/>
        <w:spacing w:before="0" w:beforeAutospacing="0" w:after="0" w:afterAutospacing="0"/>
        <w:ind w:firstLineChars="200" w:firstLine="640"/>
        <w:jc w:val="both"/>
        <w:rPr>
          <w:rFonts w:ascii="仿宋" w:eastAsia="仿宋" w:hAnsi="仿宋"/>
          <w:color w:val="484848"/>
          <w:sz w:val="32"/>
          <w:szCs w:val="32"/>
        </w:rPr>
      </w:pPr>
      <w:r>
        <w:rPr>
          <w:rFonts w:ascii="仿宋" w:eastAsia="仿宋" w:hAnsi="仿宋" w:hint="eastAsia"/>
          <w:color w:val="484848"/>
          <w:sz w:val="32"/>
          <w:szCs w:val="32"/>
        </w:rPr>
        <w:t>采样人员和检测人员要求应满足《医疗机构新型冠状病毒核酸检测工作手册（试行）》要求。</w:t>
      </w:r>
    </w:p>
    <w:p w14:paraId="01F903F7" w14:textId="77777777" w:rsidR="00BD184E" w:rsidRDefault="00DF4662" w:rsidP="005A74AE">
      <w:pPr>
        <w:pStyle w:val="a7"/>
        <w:spacing w:before="0" w:beforeAutospacing="0" w:after="0" w:afterAutospacing="0"/>
        <w:ind w:firstLineChars="200" w:firstLine="640"/>
        <w:jc w:val="both"/>
        <w:rPr>
          <w:rFonts w:ascii="黑体" w:eastAsia="黑体" w:hAnsi="黑体"/>
          <w:color w:val="484848"/>
          <w:sz w:val="32"/>
          <w:szCs w:val="32"/>
        </w:rPr>
      </w:pPr>
      <w:r>
        <w:rPr>
          <w:rFonts w:ascii="黑体" w:eastAsia="黑体" w:hAnsi="黑体" w:hint="eastAsia"/>
          <w:color w:val="484848"/>
          <w:sz w:val="32"/>
          <w:szCs w:val="32"/>
        </w:rPr>
        <w:t>十、生物安全防护</w:t>
      </w:r>
    </w:p>
    <w:p w14:paraId="6DA5DF92" w14:textId="77777777" w:rsidR="00BD184E" w:rsidRDefault="00DF4662" w:rsidP="005A74AE">
      <w:pPr>
        <w:pStyle w:val="a7"/>
        <w:spacing w:before="0" w:beforeAutospacing="0" w:after="0" w:afterAutospacing="0"/>
        <w:ind w:firstLineChars="200" w:firstLine="640"/>
        <w:jc w:val="both"/>
        <w:rPr>
          <w:rFonts w:ascii="楷体" w:eastAsia="楷体" w:hAnsi="楷体"/>
          <w:color w:val="484848"/>
          <w:sz w:val="32"/>
          <w:szCs w:val="32"/>
        </w:rPr>
      </w:pPr>
      <w:r>
        <w:rPr>
          <w:rFonts w:ascii="楷体" w:eastAsia="楷体" w:hAnsi="楷体" w:hint="eastAsia"/>
          <w:color w:val="484848"/>
          <w:sz w:val="32"/>
          <w:szCs w:val="32"/>
        </w:rPr>
        <w:t>（一）标本采集和运送人员。</w:t>
      </w:r>
    </w:p>
    <w:p w14:paraId="4AECD6E5" w14:textId="77777777" w:rsidR="00BD184E" w:rsidRDefault="00DF4662" w:rsidP="005A74AE">
      <w:pPr>
        <w:pStyle w:val="a7"/>
        <w:spacing w:before="0" w:beforeAutospacing="0" w:after="0" w:afterAutospacing="0"/>
        <w:ind w:firstLineChars="200" w:firstLine="640"/>
        <w:jc w:val="both"/>
        <w:rPr>
          <w:rFonts w:ascii="仿宋" w:eastAsia="仿宋" w:hAnsi="仿宋"/>
          <w:color w:val="484848"/>
          <w:sz w:val="32"/>
          <w:szCs w:val="32"/>
        </w:rPr>
      </w:pPr>
      <w:r>
        <w:rPr>
          <w:rFonts w:ascii="仿宋" w:eastAsia="仿宋" w:hAnsi="仿宋" w:hint="eastAsia"/>
          <w:color w:val="484848"/>
          <w:sz w:val="32"/>
          <w:szCs w:val="32"/>
        </w:rPr>
        <w:t>对于采集低风险区域人群的采集者，采用二级生物安全防护。包括：一次性帽子、医用防护口罩（N95）、手套（必要时双层）、护目镜/面屏、隔离衣，鞋套（必要时）。标本运送人员采用一级生物安全防护，包括：医用外科口罩、乳胶手套、工作服，可戴医用防护帽。</w:t>
      </w:r>
    </w:p>
    <w:p w14:paraId="56354841" w14:textId="77777777" w:rsidR="00BD184E" w:rsidRDefault="00DF4662" w:rsidP="005A74AE">
      <w:pPr>
        <w:pStyle w:val="a7"/>
        <w:spacing w:before="0" w:beforeAutospacing="0" w:after="0" w:afterAutospacing="0"/>
        <w:ind w:firstLineChars="200" w:firstLine="640"/>
        <w:jc w:val="both"/>
        <w:rPr>
          <w:rFonts w:ascii="楷体" w:eastAsia="楷体" w:hAnsi="楷体"/>
          <w:color w:val="484848"/>
          <w:sz w:val="32"/>
          <w:szCs w:val="32"/>
        </w:rPr>
      </w:pPr>
      <w:r>
        <w:rPr>
          <w:rFonts w:ascii="楷体" w:eastAsia="楷体" w:hAnsi="楷体" w:hint="eastAsia"/>
          <w:color w:val="484848"/>
          <w:sz w:val="32"/>
          <w:szCs w:val="32"/>
        </w:rPr>
        <w:lastRenderedPageBreak/>
        <w:t>（二）标本接收和检测人员。</w:t>
      </w:r>
    </w:p>
    <w:p w14:paraId="00FEF14E" w14:textId="2BD2EF5B" w:rsidR="00DF4662" w:rsidRPr="00DF4662" w:rsidRDefault="00DF4662" w:rsidP="005A74AE">
      <w:pPr>
        <w:pStyle w:val="a7"/>
        <w:spacing w:before="0" w:beforeAutospacing="0" w:after="0" w:afterAutospacing="0"/>
        <w:ind w:firstLineChars="200" w:firstLine="640"/>
        <w:jc w:val="both"/>
        <w:rPr>
          <w:rFonts w:ascii="仿宋" w:eastAsia="仿宋" w:hAnsi="仿宋"/>
          <w:color w:val="484848"/>
          <w:sz w:val="32"/>
          <w:szCs w:val="32"/>
        </w:rPr>
      </w:pPr>
      <w:r>
        <w:rPr>
          <w:rFonts w:ascii="仿宋" w:eastAsia="仿宋" w:hAnsi="仿宋" w:hint="eastAsia"/>
          <w:color w:val="484848"/>
          <w:sz w:val="32"/>
          <w:szCs w:val="32"/>
        </w:rPr>
        <w:t>标本接收人员应当为核酸检测实验室经生物安全防护培训的指定人员，采用二级以上生物安全防护。生物安全防护标准可根据所从事工作的危险性进行区分。进行试剂准备和核酸扩增的工作人员采用二级防护。处理标本的人员必须严格遵照三级防护标准，包括：医用防护口罩或N95、单或双层乳胶手套（条件许可，可以不同颜色）、面屏、护目镜、工作服外防护服、单或双层医用防护帽，手卫生。必要时双层口罩（外医用防护口罩，内N95）。</w:t>
      </w:r>
    </w:p>
    <w:p w14:paraId="62EE94EC" w14:textId="67F268EC" w:rsidR="00DF4662" w:rsidRDefault="00DF4662">
      <w:pPr>
        <w:widowControl/>
        <w:jc w:val="left"/>
        <w:rPr>
          <w:rFonts w:ascii="微软雅黑" w:eastAsia="微软雅黑" w:hAnsi="微软雅黑"/>
          <w:b/>
          <w:bCs/>
          <w:color w:val="FF0000"/>
          <w:shd w:val="pct15" w:color="auto" w:fill="FFFFFF"/>
        </w:rPr>
      </w:pPr>
      <w:r>
        <w:rPr>
          <w:rFonts w:ascii="微软雅黑" w:eastAsia="微软雅黑" w:hAnsi="微软雅黑"/>
          <w:b/>
          <w:bCs/>
          <w:color w:val="FF0000"/>
          <w:shd w:val="pct15" w:color="auto" w:fill="FFFFFF"/>
        </w:rPr>
        <w:br w:type="page"/>
      </w:r>
    </w:p>
    <w:p w14:paraId="55C197C0" w14:textId="10521D18" w:rsidR="00DF4662" w:rsidRDefault="00DF4662" w:rsidP="003B3336">
      <w:pPr>
        <w:rPr>
          <w:rFonts w:ascii="仿宋" w:eastAsia="仿宋" w:hAnsi="仿宋"/>
          <w:color w:val="484848"/>
          <w:sz w:val="32"/>
          <w:szCs w:val="32"/>
        </w:rPr>
      </w:pPr>
      <w:r>
        <w:rPr>
          <w:rFonts w:ascii="仿宋" w:eastAsia="仿宋" w:hAnsi="仿宋" w:hint="eastAsia"/>
          <w:color w:val="484848"/>
          <w:sz w:val="32"/>
          <w:szCs w:val="32"/>
        </w:rPr>
        <w:lastRenderedPageBreak/>
        <w:t>附件：新冠病毒核酸10合1混采检测登记表</w:t>
      </w:r>
    </w:p>
    <w:p w14:paraId="51C723B4" w14:textId="75170D5C" w:rsidR="00DF4662" w:rsidRPr="00DF4662" w:rsidRDefault="00DF4662" w:rsidP="00DF4662">
      <w:pPr>
        <w:widowControl/>
        <w:jc w:val="center"/>
        <w:rPr>
          <w:rFonts w:ascii="仿宋" w:eastAsia="仿宋" w:hAnsi="仿宋" w:cs="宋体"/>
          <w:color w:val="484848"/>
          <w:kern w:val="0"/>
          <w:sz w:val="32"/>
          <w:szCs w:val="32"/>
        </w:rPr>
      </w:pPr>
      <w:r w:rsidRPr="00DF4662">
        <w:rPr>
          <w:rFonts w:ascii="微软雅黑" w:eastAsia="微软雅黑" w:hAnsi="微软雅黑" w:cs="宋体" w:hint="eastAsia"/>
          <w:b/>
          <w:bCs/>
          <w:color w:val="484848"/>
          <w:kern w:val="0"/>
          <w:sz w:val="44"/>
          <w:szCs w:val="44"/>
        </w:rPr>
        <w:t>新冠病毒核酸10合1混采检测登记表</w:t>
      </w:r>
    </w:p>
    <w:p w14:paraId="5B5FE8C3" w14:textId="3BA413FA" w:rsidR="00DF4662" w:rsidRDefault="00DF4662" w:rsidP="00DF4662">
      <w:pPr>
        <w:widowControl/>
        <w:rPr>
          <w:rFonts w:ascii="仿宋" w:eastAsia="仿宋" w:hAnsi="仿宋" w:cs="宋体"/>
          <w:color w:val="484848"/>
          <w:kern w:val="0"/>
          <w:sz w:val="32"/>
          <w:szCs w:val="32"/>
        </w:rPr>
      </w:pPr>
      <w:r w:rsidRPr="00DF4662">
        <w:rPr>
          <w:rFonts w:ascii="仿宋" w:eastAsia="仿宋" w:hAnsi="仿宋" w:cs="宋体" w:hint="eastAsia"/>
          <w:color w:val="484848"/>
          <w:kern w:val="0"/>
          <w:sz w:val="32"/>
          <w:szCs w:val="32"/>
        </w:rPr>
        <w:t>采集地点：</w:t>
      </w:r>
      <w:r>
        <w:rPr>
          <w:rFonts w:ascii="仿宋" w:eastAsia="仿宋" w:hAnsi="仿宋" w:cs="宋体" w:hint="eastAsia"/>
          <w:color w:val="484848"/>
          <w:kern w:val="0"/>
          <w:sz w:val="32"/>
          <w:szCs w:val="32"/>
        </w:rPr>
        <w:t xml:space="preserve"> </w:t>
      </w:r>
      <w:r>
        <w:rPr>
          <w:rFonts w:ascii="仿宋" w:eastAsia="仿宋" w:hAnsi="仿宋" w:cs="宋体"/>
          <w:color w:val="484848"/>
          <w:kern w:val="0"/>
          <w:sz w:val="32"/>
          <w:szCs w:val="32"/>
        </w:rPr>
        <w:t xml:space="preserve">               </w:t>
      </w:r>
      <w:r w:rsidRPr="00DF4662">
        <w:rPr>
          <w:rFonts w:ascii="仿宋" w:eastAsia="仿宋" w:hAnsi="仿宋" w:cs="宋体" w:hint="eastAsia"/>
          <w:color w:val="484848"/>
          <w:kern w:val="0"/>
          <w:sz w:val="32"/>
          <w:szCs w:val="32"/>
        </w:rPr>
        <w:t>采集日期：</w:t>
      </w:r>
      <w:r>
        <w:rPr>
          <w:rFonts w:ascii="仿宋" w:eastAsia="仿宋" w:hAnsi="仿宋" w:cs="宋体" w:hint="eastAsia"/>
          <w:color w:val="484848"/>
          <w:kern w:val="0"/>
          <w:sz w:val="32"/>
          <w:szCs w:val="32"/>
        </w:rPr>
        <w:t xml:space="preserve"> </w:t>
      </w:r>
      <w:r>
        <w:rPr>
          <w:rFonts w:ascii="仿宋" w:eastAsia="仿宋" w:hAnsi="仿宋" w:cs="宋体"/>
          <w:color w:val="484848"/>
          <w:kern w:val="0"/>
          <w:sz w:val="32"/>
          <w:szCs w:val="32"/>
        </w:rPr>
        <w:t xml:space="preserve">                </w:t>
      </w:r>
    </w:p>
    <w:p w14:paraId="062A1CCE" w14:textId="2F7EF8C1" w:rsidR="00DF4662" w:rsidRDefault="00DF4662" w:rsidP="00DF4662">
      <w:pPr>
        <w:widowControl/>
        <w:rPr>
          <w:rFonts w:ascii="仿宋" w:eastAsia="仿宋" w:hAnsi="仿宋" w:cs="宋体"/>
          <w:color w:val="484848"/>
          <w:kern w:val="0"/>
          <w:sz w:val="32"/>
          <w:szCs w:val="32"/>
        </w:rPr>
      </w:pPr>
      <w:r w:rsidRPr="00DF4662">
        <w:rPr>
          <w:rFonts w:ascii="仿宋" w:eastAsia="仿宋" w:hAnsi="仿宋" w:cs="宋体" w:hint="eastAsia"/>
          <w:color w:val="484848"/>
          <w:kern w:val="0"/>
          <w:sz w:val="32"/>
          <w:szCs w:val="32"/>
        </w:rPr>
        <w:t>送样人：</w:t>
      </w:r>
      <w:r>
        <w:rPr>
          <w:rFonts w:ascii="仿宋" w:eastAsia="仿宋" w:hAnsi="仿宋" w:cs="宋体" w:hint="eastAsia"/>
          <w:color w:val="484848"/>
          <w:kern w:val="0"/>
          <w:sz w:val="32"/>
          <w:szCs w:val="32"/>
        </w:rPr>
        <w:t xml:space="preserve"> </w:t>
      </w:r>
      <w:r>
        <w:rPr>
          <w:rFonts w:ascii="仿宋" w:eastAsia="仿宋" w:hAnsi="仿宋" w:cs="宋体"/>
          <w:color w:val="484848"/>
          <w:kern w:val="0"/>
          <w:sz w:val="32"/>
          <w:szCs w:val="32"/>
        </w:rPr>
        <w:t xml:space="preserve">                 </w:t>
      </w:r>
      <w:r w:rsidRPr="00DF4662">
        <w:rPr>
          <w:rFonts w:ascii="仿宋" w:eastAsia="仿宋" w:hAnsi="仿宋" w:cs="宋体" w:hint="eastAsia"/>
          <w:color w:val="484848"/>
          <w:kern w:val="0"/>
          <w:sz w:val="32"/>
          <w:szCs w:val="32"/>
        </w:rPr>
        <w:t>送样人联系电话：</w:t>
      </w:r>
      <w:r>
        <w:rPr>
          <w:rFonts w:ascii="仿宋" w:eastAsia="仿宋" w:hAnsi="仿宋" w:cs="宋体" w:hint="eastAsia"/>
          <w:color w:val="484848"/>
          <w:kern w:val="0"/>
          <w:sz w:val="32"/>
          <w:szCs w:val="32"/>
        </w:rPr>
        <w:t xml:space="preserve"> </w:t>
      </w:r>
      <w:r>
        <w:rPr>
          <w:rFonts w:ascii="仿宋" w:eastAsia="仿宋" w:hAnsi="仿宋" w:cs="宋体"/>
          <w:color w:val="484848"/>
          <w:kern w:val="0"/>
          <w:sz w:val="32"/>
          <w:szCs w:val="32"/>
        </w:rPr>
        <w:t xml:space="preserve">          </w:t>
      </w:r>
    </w:p>
    <w:p w14:paraId="6F2475A6" w14:textId="77777777" w:rsidR="00DF4662" w:rsidRDefault="00DF4662" w:rsidP="00DF4662">
      <w:pPr>
        <w:widowControl/>
        <w:rPr>
          <w:rFonts w:ascii="仿宋" w:eastAsia="仿宋" w:hAnsi="仿宋" w:cs="宋体"/>
          <w:color w:val="484848"/>
          <w:kern w:val="0"/>
          <w:sz w:val="32"/>
          <w:szCs w:val="32"/>
        </w:rPr>
      </w:pPr>
      <w:r w:rsidRPr="00DF4662">
        <w:rPr>
          <w:rFonts w:ascii="仿宋" w:eastAsia="仿宋" w:hAnsi="仿宋" w:cs="宋体" w:hint="eastAsia"/>
          <w:color w:val="484848"/>
          <w:kern w:val="0"/>
          <w:sz w:val="32"/>
          <w:szCs w:val="32"/>
        </w:rPr>
        <w:t>送检时间：</w:t>
      </w:r>
      <w:r>
        <w:rPr>
          <w:rFonts w:ascii="仿宋" w:eastAsia="仿宋" w:hAnsi="仿宋" w:cs="宋体" w:hint="eastAsia"/>
          <w:color w:val="484848"/>
          <w:kern w:val="0"/>
          <w:sz w:val="32"/>
          <w:szCs w:val="32"/>
        </w:rPr>
        <w:t xml:space="preserve"> </w:t>
      </w:r>
      <w:r>
        <w:rPr>
          <w:rFonts w:ascii="仿宋" w:eastAsia="仿宋" w:hAnsi="仿宋" w:cs="宋体"/>
          <w:color w:val="484848"/>
          <w:kern w:val="0"/>
          <w:sz w:val="32"/>
          <w:szCs w:val="32"/>
        </w:rPr>
        <w:t xml:space="preserve">               </w:t>
      </w:r>
      <w:r w:rsidRPr="00DF4662">
        <w:rPr>
          <w:rFonts w:ascii="仿宋" w:eastAsia="仿宋" w:hAnsi="仿宋" w:cs="宋体" w:hint="eastAsia"/>
          <w:color w:val="484848"/>
          <w:kern w:val="0"/>
          <w:sz w:val="32"/>
          <w:szCs w:val="32"/>
        </w:rPr>
        <w:t>接收人：</w:t>
      </w:r>
      <w:r>
        <w:rPr>
          <w:rFonts w:ascii="仿宋" w:eastAsia="仿宋" w:hAnsi="仿宋" w:cs="宋体" w:hint="eastAsia"/>
          <w:color w:val="484848"/>
          <w:kern w:val="0"/>
          <w:sz w:val="32"/>
          <w:szCs w:val="32"/>
        </w:rPr>
        <w:t xml:space="preserve"> </w:t>
      </w:r>
      <w:r>
        <w:rPr>
          <w:rFonts w:ascii="仿宋" w:eastAsia="仿宋" w:hAnsi="仿宋" w:cs="宋体"/>
          <w:color w:val="484848"/>
          <w:kern w:val="0"/>
          <w:sz w:val="32"/>
          <w:szCs w:val="32"/>
        </w:rPr>
        <w:t xml:space="preserve">                  </w:t>
      </w:r>
    </w:p>
    <w:p w14:paraId="3B107416" w14:textId="3F27512E" w:rsidR="00DF4662" w:rsidRPr="00DF4662" w:rsidRDefault="00DF4662" w:rsidP="00DF4662">
      <w:pPr>
        <w:widowControl/>
        <w:rPr>
          <w:rFonts w:ascii="仿宋" w:eastAsia="仿宋" w:hAnsi="仿宋" w:cs="宋体"/>
          <w:color w:val="484848"/>
          <w:kern w:val="0"/>
          <w:sz w:val="32"/>
          <w:szCs w:val="32"/>
        </w:rPr>
      </w:pPr>
      <w:r w:rsidRPr="00DF4662">
        <w:rPr>
          <w:rFonts w:ascii="仿宋" w:eastAsia="仿宋" w:hAnsi="仿宋" w:cs="宋体" w:hint="eastAsia"/>
          <w:color w:val="484848"/>
          <w:kern w:val="0"/>
          <w:sz w:val="32"/>
          <w:szCs w:val="32"/>
        </w:rPr>
        <w:t>接收时间：</w:t>
      </w:r>
      <w:r>
        <w:rPr>
          <w:rFonts w:ascii="仿宋" w:eastAsia="仿宋" w:hAnsi="仿宋" w:cs="宋体" w:hint="eastAsia"/>
          <w:color w:val="484848"/>
          <w:kern w:val="0"/>
          <w:sz w:val="32"/>
          <w:szCs w:val="32"/>
        </w:rPr>
        <w:t xml:space="preserve"> </w:t>
      </w:r>
      <w:r>
        <w:rPr>
          <w:rFonts w:ascii="仿宋" w:eastAsia="仿宋" w:hAnsi="仿宋" w:cs="宋体"/>
          <w:color w:val="484848"/>
          <w:kern w:val="0"/>
          <w:sz w:val="32"/>
          <w:szCs w:val="32"/>
        </w:rPr>
        <w:t xml:space="preserve">               </w:t>
      </w:r>
    </w:p>
    <w:tbl>
      <w:tblPr>
        <w:tblW w:w="9432" w:type="dxa"/>
        <w:jc w:val="center"/>
        <w:tblCellMar>
          <w:left w:w="0" w:type="dxa"/>
          <w:right w:w="0" w:type="dxa"/>
        </w:tblCellMar>
        <w:tblLook w:val="04A0" w:firstRow="1" w:lastRow="0" w:firstColumn="1" w:lastColumn="0" w:noHBand="0" w:noVBand="1"/>
      </w:tblPr>
      <w:tblGrid>
        <w:gridCol w:w="548"/>
        <w:gridCol w:w="688"/>
        <w:gridCol w:w="811"/>
        <w:gridCol w:w="734"/>
        <w:gridCol w:w="753"/>
        <w:gridCol w:w="1385"/>
        <w:gridCol w:w="1069"/>
        <w:gridCol w:w="831"/>
        <w:gridCol w:w="831"/>
        <w:gridCol w:w="594"/>
        <w:gridCol w:w="594"/>
        <w:gridCol w:w="594"/>
      </w:tblGrid>
      <w:tr w:rsidR="00DF4662" w:rsidRPr="00DF4662" w14:paraId="7677EDE5" w14:textId="77777777" w:rsidTr="00222C02">
        <w:trPr>
          <w:trHeight w:val="640"/>
          <w:jc w:val="center"/>
        </w:trPr>
        <w:tc>
          <w:tcPr>
            <w:tcW w:w="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4244BE" w14:textId="77777777" w:rsidR="00DF4662" w:rsidRPr="00DF4662" w:rsidRDefault="00DF4662" w:rsidP="00222C02">
            <w:pPr>
              <w:widowControl/>
              <w:spacing w:line="240" w:lineRule="atLeast"/>
              <w:jc w:val="left"/>
              <w:rPr>
                <w:rFonts w:ascii="微软雅黑" w:eastAsia="微软雅黑" w:hAnsi="微软雅黑" w:cs="宋体"/>
                <w:color w:val="484848"/>
                <w:kern w:val="0"/>
                <w:szCs w:val="21"/>
              </w:rPr>
            </w:pPr>
            <w:r w:rsidRPr="00DF4662">
              <w:rPr>
                <w:rFonts w:ascii="仿宋" w:eastAsia="仿宋" w:hAnsi="仿宋" w:cs="宋体" w:hint="eastAsia"/>
                <w:color w:val="484848"/>
                <w:kern w:val="0"/>
                <w:szCs w:val="21"/>
              </w:rPr>
              <w:t>采集管编号</w:t>
            </w:r>
          </w:p>
        </w:tc>
        <w:tc>
          <w:tcPr>
            <w:tcW w:w="6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3CAD8" w14:textId="77777777" w:rsidR="00DF4662" w:rsidRPr="00DF4662" w:rsidRDefault="00DF4662" w:rsidP="00222C02">
            <w:pPr>
              <w:widowControl/>
              <w:spacing w:line="240" w:lineRule="atLeast"/>
              <w:jc w:val="left"/>
              <w:rPr>
                <w:rFonts w:ascii="微软雅黑" w:eastAsia="微软雅黑" w:hAnsi="微软雅黑" w:cs="宋体"/>
                <w:color w:val="484848"/>
                <w:kern w:val="0"/>
                <w:szCs w:val="21"/>
              </w:rPr>
            </w:pPr>
            <w:r w:rsidRPr="00DF4662">
              <w:rPr>
                <w:rFonts w:ascii="仿宋" w:eastAsia="仿宋" w:hAnsi="仿宋" w:cs="宋体" w:hint="eastAsia"/>
                <w:color w:val="484848"/>
                <w:kern w:val="0"/>
                <w:szCs w:val="21"/>
              </w:rPr>
              <w:t>序号</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99A58D" w14:textId="77777777" w:rsidR="00DF4662" w:rsidRPr="00DF4662" w:rsidRDefault="00DF4662" w:rsidP="00222C02">
            <w:pPr>
              <w:widowControl/>
              <w:spacing w:line="240" w:lineRule="atLeast"/>
              <w:jc w:val="left"/>
              <w:rPr>
                <w:rFonts w:ascii="微软雅黑" w:eastAsia="微软雅黑" w:hAnsi="微软雅黑" w:cs="宋体"/>
                <w:color w:val="484848"/>
                <w:kern w:val="0"/>
                <w:szCs w:val="21"/>
              </w:rPr>
            </w:pPr>
            <w:r w:rsidRPr="00DF4662">
              <w:rPr>
                <w:rFonts w:ascii="仿宋" w:eastAsia="仿宋" w:hAnsi="仿宋" w:cs="宋体" w:hint="eastAsia"/>
                <w:color w:val="484848"/>
                <w:kern w:val="0"/>
                <w:szCs w:val="21"/>
              </w:rPr>
              <w:t>姓名</w:t>
            </w:r>
          </w:p>
        </w:tc>
        <w:tc>
          <w:tcPr>
            <w:tcW w:w="7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70D270" w14:textId="77777777" w:rsidR="00DF4662" w:rsidRPr="00DF4662" w:rsidRDefault="00DF4662" w:rsidP="00222C02">
            <w:pPr>
              <w:widowControl/>
              <w:spacing w:line="240" w:lineRule="atLeast"/>
              <w:jc w:val="left"/>
              <w:rPr>
                <w:rFonts w:ascii="微软雅黑" w:eastAsia="微软雅黑" w:hAnsi="微软雅黑" w:cs="宋体"/>
                <w:color w:val="484848"/>
                <w:kern w:val="0"/>
                <w:szCs w:val="21"/>
              </w:rPr>
            </w:pPr>
            <w:r w:rsidRPr="00DF4662">
              <w:rPr>
                <w:rFonts w:ascii="仿宋" w:eastAsia="仿宋" w:hAnsi="仿宋" w:cs="宋体" w:hint="eastAsia"/>
                <w:color w:val="484848"/>
                <w:kern w:val="0"/>
                <w:szCs w:val="21"/>
              </w:rPr>
              <w:t>性别</w:t>
            </w:r>
          </w:p>
        </w:tc>
        <w:tc>
          <w:tcPr>
            <w:tcW w:w="7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45DFB7" w14:textId="77777777" w:rsidR="00DF4662" w:rsidRPr="00DF4662" w:rsidRDefault="00DF4662" w:rsidP="00222C02">
            <w:pPr>
              <w:widowControl/>
              <w:spacing w:line="240" w:lineRule="atLeast"/>
              <w:jc w:val="left"/>
              <w:rPr>
                <w:rFonts w:ascii="微软雅黑" w:eastAsia="微软雅黑" w:hAnsi="微软雅黑" w:cs="宋体"/>
                <w:color w:val="484848"/>
                <w:kern w:val="0"/>
                <w:szCs w:val="21"/>
              </w:rPr>
            </w:pPr>
            <w:r w:rsidRPr="00DF4662">
              <w:rPr>
                <w:rFonts w:ascii="仿宋" w:eastAsia="仿宋" w:hAnsi="仿宋" w:cs="宋体" w:hint="eastAsia"/>
                <w:color w:val="484848"/>
                <w:kern w:val="0"/>
                <w:szCs w:val="21"/>
              </w:rPr>
              <w:t>年龄</w:t>
            </w:r>
          </w:p>
        </w:tc>
        <w:tc>
          <w:tcPr>
            <w:tcW w:w="13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43ED5" w14:textId="77777777" w:rsidR="00DF4662" w:rsidRPr="00DF4662" w:rsidRDefault="00DF4662" w:rsidP="00222C02">
            <w:pPr>
              <w:widowControl/>
              <w:spacing w:line="240" w:lineRule="atLeast"/>
              <w:jc w:val="left"/>
              <w:rPr>
                <w:rFonts w:ascii="微软雅黑" w:eastAsia="微软雅黑" w:hAnsi="微软雅黑" w:cs="宋体"/>
                <w:color w:val="484848"/>
                <w:kern w:val="0"/>
                <w:szCs w:val="21"/>
              </w:rPr>
            </w:pPr>
            <w:r w:rsidRPr="00DF4662">
              <w:rPr>
                <w:rFonts w:ascii="仿宋" w:eastAsia="仿宋" w:hAnsi="仿宋" w:cs="宋体" w:hint="eastAsia"/>
                <w:color w:val="484848"/>
                <w:kern w:val="0"/>
                <w:szCs w:val="21"/>
              </w:rPr>
              <w:t>身份证号</w:t>
            </w:r>
          </w:p>
        </w:tc>
        <w:tc>
          <w:tcPr>
            <w:tcW w:w="10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0B3292" w14:textId="77777777" w:rsidR="00DF4662" w:rsidRPr="00DF4662" w:rsidRDefault="00DF4662" w:rsidP="00222C02">
            <w:pPr>
              <w:widowControl/>
              <w:spacing w:line="240" w:lineRule="atLeast"/>
              <w:jc w:val="left"/>
              <w:rPr>
                <w:rFonts w:ascii="微软雅黑" w:eastAsia="微软雅黑" w:hAnsi="微软雅黑" w:cs="宋体"/>
                <w:color w:val="484848"/>
                <w:kern w:val="0"/>
                <w:szCs w:val="21"/>
              </w:rPr>
            </w:pPr>
            <w:r w:rsidRPr="00DF4662">
              <w:rPr>
                <w:rFonts w:ascii="仿宋" w:eastAsia="仿宋" w:hAnsi="仿宋" w:cs="宋体" w:hint="eastAsia"/>
                <w:color w:val="484848"/>
                <w:kern w:val="0"/>
                <w:szCs w:val="21"/>
              </w:rPr>
              <w:t>联系电话</w:t>
            </w:r>
          </w:p>
        </w:tc>
        <w:tc>
          <w:tcPr>
            <w:tcW w:w="8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9FBF90" w14:textId="77777777" w:rsidR="00DF4662" w:rsidRPr="00DF4662" w:rsidRDefault="00DF4662" w:rsidP="00222C02">
            <w:pPr>
              <w:widowControl/>
              <w:spacing w:line="240" w:lineRule="atLeast"/>
              <w:jc w:val="left"/>
              <w:rPr>
                <w:rFonts w:ascii="微软雅黑" w:eastAsia="微软雅黑" w:hAnsi="微软雅黑" w:cs="宋体"/>
                <w:color w:val="484848"/>
                <w:kern w:val="0"/>
                <w:szCs w:val="21"/>
              </w:rPr>
            </w:pPr>
            <w:r w:rsidRPr="00DF4662">
              <w:rPr>
                <w:rFonts w:ascii="仿宋" w:eastAsia="仿宋" w:hAnsi="仿宋" w:cs="宋体" w:hint="eastAsia"/>
                <w:color w:val="484848"/>
                <w:kern w:val="0"/>
                <w:szCs w:val="21"/>
              </w:rPr>
              <w:t>采集时间</w:t>
            </w:r>
          </w:p>
        </w:tc>
        <w:tc>
          <w:tcPr>
            <w:tcW w:w="8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84DDD0" w14:textId="77777777" w:rsidR="00DF4662" w:rsidRPr="00DF4662" w:rsidRDefault="00DF4662" w:rsidP="00222C02">
            <w:pPr>
              <w:widowControl/>
              <w:spacing w:line="240" w:lineRule="atLeast"/>
              <w:jc w:val="left"/>
              <w:rPr>
                <w:rFonts w:ascii="微软雅黑" w:eastAsia="微软雅黑" w:hAnsi="微软雅黑" w:cs="宋体"/>
                <w:color w:val="484848"/>
                <w:kern w:val="0"/>
                <w:szCs w:val="21"/>
              </w:rPr>
            </w:pPr>
            <w:r w:rsidRPr="00DF4662">
              <w:rPr>
                <w:rFonts w:ascii="仿宋" w:eastAsia="仿宋" w:hAnsi="仿宋" w:cs="宋体" w:hint="eastAsia"/>
                <w:color w:val="484848"/>
                <w:kern w:val="0"/>
                <w:szCs w:val="21"/>
              </w:rPr>
              <w:t>是否去过高风险地区</w:t>
            </w:r>
          </w:p>
        </w:tc>
        <w:tc>
          <w:tcPr>
            <w:tcW w:w="5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3E60FC" w14:textId="77777777" w:rsidR="00DF4662" w:rsidRPr="00DF4662" w:rsidRDefault="00DF4662" w:rsidP="00222C02">
            <w:pPr>
              <w:widowControl/>
              <w:spacing w:line="240" w:lineRule="atLeast"/>
              <w:jc w:val="left"/>
              <w:rPr>
                <w:rFonts w:ascii="微软雅黑" w:eastAsia="微软雅黑" w:hAnsi="微软雅黑" w:cs="宋体"/>
                <w:color w:val="484848"/>
                <w:kern w:val="0"/>
                <w:szCs w:val="21"/>
              </w:rPr>
            </w:pPr>
            <w:r w:rsidRPr="00DF4662">
              <w:rPr>
                <w:rFonts w:ascii="仿宋" w:eastAsia="仿宋" w:hAnsi="仿宋" w:cs="宋体" w:hint="eastAsia"/>
                <w:color w:val="484848"/>
                <w:kern w:val="0"/>
                <w:szCs w:val="21"/>
              </w:rPr>
              <w:t>是否发热</w:t>
            </w:r>
          </w:p>
        </w:tc>
        <w:tc>
          <w:tcPr>
            <w:tcW w:w="5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1B7704" w14:textId="77777777" w:rsidR="00DF4662" w:rsidRPr="00DF4662" w:rsidRDefault="00DF4662" w:rsidP="00222C02">
            <w:pPr>
              <w:widowControl/>
              <w:spacing w:line="240" w:lineRule="atLeast"/>
              <w:jc w:val="left"/>
              <w:rPr>
                <w:rFonts w:ascii="微软雅黑" w:eastAsia="微软雅黑" w:hAnsi="微软雅黑" w:cs="宋体"/>
                <w:color w:val="484848"/>
                <w:kern w:val="0"/>
                <w:szCs w:val="21"/>
              </w:rPr>
            </w:pPr>
            <w:r w:rsidRPr="00DF4662">
              <w:rPr>
                <w:rFonts w:ascii="仿宋" w:eastAsia="仿宋" w:hAnsi="仿宋" w:cs="宋体" w:hint="eastAsia"/>
                <w:color w:val="484848"/>
                <w:kern w:val="0"/>
                <w:szCs w:val="21"/>
              </w:rPr>
              <w:t>实验室编号</w:t>
            </w:r>
          </w:p>
        </w:tc>
        <w:tc>
          <w:tcPr>
            <w:tcW w:w="5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B1BBA2" w14:textId="77777777" w:rsidR="00DF4662" w:rsidRPr="00DF4662" w:rsidRDefault="00DF4662" w:rsidP="00222C02">
            <w:pPr>
              <w:widowControl/>
              <w:spacing w:line="240" w:lineRule="atLeast"/>
              <w:jc w:val="left"/>
              <w:rPr>
                <w:rFonts w:ascii="微软雅黑" w:eastAsia="微软雅黑" w:hAnsi="微软雅黑" w:cs="宋体"/>
                <w:color w:val="484848"/>
                <w:kern w:val="0"/>
                <w:szCs w:val="21"/>
              </w:rPr>
            </w:pPr>
            <w:r w:rsidRPr="00DF4662">
              <w:rPr>
                <w:rFonts w:ascii="仿宋" w:eastAsia="仿宋" w:hAnsi="仿宋" w:cs="宋体" w:hint="eastAsia"/>
                <w:color w:val="484848"/>
                <w:kern w:val="0"/>
                <w:szCs w:val="21"/>
              </w:rPr>
              <w:t>检测结果</w:t>
            </w:r>
          </w:p>
        </w:tc>
      </w:tr>
      <w:tr w:rsidR="00DF4662" w:rsidRPr="00DF4662" w14:paraId="3B2D7340" w14:textId="77777777" w:rsidTr="00222C02">
        <w:trPr>
          <w:trHeight w:val="596"/>
          <w:jc w:val="center"/>
        </w:trPr>
        <w:tc>
          <w:tcPr>
            <w:tcW w:w="5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EE654C" w14:textId="25DCEDBB" w:rsidR="00DF4662" w:rsidRPr="00DF4662" w:rsidRDefault="00DF4662" w:rsidP="00222C02">
            <w:pPr>
              <w:widowControl/>
              <w:spacing w:line="240" w:lineRule="atLeast"/>
              <w:jc w:val="left"/>
              <w:rPr>
                <w:rFonts w:ascii="微软雅黑" w:eastAsia="微软雅黑" w:hAnsi="微软雅黑" w:cs="宋体"/>
                <w:color w:val="484848"/>
                <w:kern w:val="0"/>
                <w:szCs w:val="21"/>
              </w:rPr>
            </w:pPr>
          </w:p>
        </w:tc>
        <w:tc>
          <w:tcPr>
            <w:tcW w:w="6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0FF3B" w14:textId="77777777" w:rsidR="00DF4662" w:rsidRPr="00DF4662" w:rsidRDefault="00DF4662" w:rsidP="00222C02">
            <w:pPr>
              <w:widowControl/>
              <w:spacing w:line="240" w:lineRule="atLeast"/>
              <w:jc w:val="center"/>
              <w:rPr>
                <w:rFonts w:ascii="微软雅黑" w:eastAsia="微软雅黑" w:hAnsi="微软雅黑" w:cs="宋体"/>
                <w:color w:val="484848"/>
                <w:kern w:val="0"/>
                <w:szCs w:val="21"/>
              </w:rPr>
            </w:pPr>
            <w:r w:rsidRPr="00DF4662">
              <w:rPr>
                <w:rFonts w:ascii="仿宋" w:eastAsia="仿宋" w:hAnsi="仿宋" w:cs="宋体" w:hint="eastAsia"/>
                <w:color w:val="484848"/>
                <w:kern w:val="0"/>
                <w:szCs w:val="21"/>
              </w:rPr>
              <w:t>1</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14:paraId="5E3C668E" w14:textId="2E47922D" w:rsidR="00DF4662" w:rsidRPr="00DF4662" w:rsidRDefault="00DF4662" w:rsidP="00222C02">
            <w:pPr>
              <w:widowControl/>
              <w:spacing w:line="240" w:lineRule="atLeast"/>
              <w:jc w:val="left"/>
              <w:rPr>
                <w:rFonts w:ascii="微软雅黑" w:eastAsia="微软雅黑" w:hAnsi="微软雅黑" w:cs="宋体"/>
                <w:color w:val="484848"/>
                <w:kern w:val="0"/>
                <w:szCs w:val="21"/>
              </w:rPr>
            </w:pP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14:paraId="4E37338C" w14:textId="0ABF9F45" w:rsidR="00DF4662" w:rsidRPr="00DF4662" w:rsidRDefault="00DF4662" w:rsidP="00222C02">
            <w:pPr>
              <w:widowControl/>
              <w:spacing w:line="240" w:lineRule="atLeast"/>
              <w:jc w:val="left"/>
              <w:rPr>
                <w:rFonts w:ascii="微软雅黑" w:eastAsia="微软雅黑" w:hAnsi="微软雅黑" w:cs="宋体"/>
                <w:color w:val="484848"/>
                <w:kern w:val="0"/>
                <w:szCs w:val="21"/>
              </w:rPr>
            </w:pPr>
          </w:p>
        </w:tc>
        <w:tc>
          <w:tcPr>
            <w:tcW w:w="753" w:type="dxa"/>
            <w:tcBorders>
              <w:top w:val="nil"/>
              <w:left w:val="nil"/>
              <w:bottom w:val="single" w:sz="8" w:space="0" w:color="auto"/>
              <w:right w:val="single" w:sz="8" w:space="0" w:color="auto"/>
            </w:tcBorders>
            <w:tcMar>
              <w:top w:w="0" w:type="dxa"/>
              <w:left w:w="108" w:type="dxa"/>
              <w:bottom w:w="0" w:type="dxa"/>
              <w:right w:w="108" w:type="dxa"/>
            </w:tcMar>
            <w:hideMark/>
          </w:tcPr>
          <w:p w14:paraId="36C15328" w14:textId="744DC226" w:rsidR="00DF4662" w:rsidRPr="00DF4662" w:rsidRDefault="00DF4662" w:rsidP="00222C02">
            <w:pPr>
              <w:widowControl/>
              <w:spacing w:line="240" w:lineRule="atLeast"/>
              <w:jc w:val="left"/>
              <w:rPr>
                <w:rFonts w:ascii="微软雅黑" w:eastAsia="微软雅黑" w:hAnsi="微软雅黑" w:cs="宋体"/>
                <w:color w:val="484848"/>
                <w:kern w:val="0"/>
                <w:szCs w:val="21"/>
              </w:rPr>
            </w:pP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31A00272" w14:textId="661E32D3" w:rsidR="00DF4662" w:rsidRPr="00DF4662" w:rsidRDefault="00DF4662" w:rsidP="00222C02">
            <w:pPr>
              <w:widowControl/>
              <w:spacing w:line="240" w:lineRule="atLeast"/>
              <w:jc w:val="left"/>
              <w:rPr>
                <w:rFonts w:ascii="微软雅黑" w:eastAsia="微软雅黑" w:hAnsi="微软雅黑" w:cs="宋体"/>
                <w:color w:val="484848"/>
                <w:kern w:val="0"/>
                <w:szCs w:val="21"/>
              </w:rPr>
            </w:pP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14:paraId="628A8BE1" w14:textId="2F90AEC8" w:rsidR="00DF4662" w:rsidRPr="00DF4662" w:rsidRDefault="00DF4662" w:rsidP="00222C02">
            <w:pPr>
              <w:widowControl/>
              <w:spacing w:line="240" w:lineRule="atLeast"/>
              <w:jc w:val="left"/>
              <w:rPr>
                <w:rFonts w:ascii="微软雅黑" w:eastAsia="微软雅黑" w:hAnsi="微软雅黑" w:cs="宋体"/>
                <w:color w:val="484848"/>
                <w:kern w:val="0"/>
                <w:szCs w:val="21"/>
              </w:rPr>
            </w:pP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14:paraId="782526FA" w14:textId="5C8DF83C" w:rsidR="00DF4662" w:rsidRPr="00DF4662" w:rsidRDefault="00DF4662" w:rsidP="00222C02">
            <w:pPr>
              <w:widowControl/>
              <w:spacing w:line="240" w:lineRule="atLeast"/>
              <w:jc w:val="left"/>
              <w:rPr>
                <w:rFonts w:ascii="微软雅黑" w:eastAsia="微软雅黑" w:hAnsi="微软雅黑" w:cs="宋体"/>
                <w:color w:val="484848"/>
                <w:kern w:val="0"/>
                <w:szCs w:val="21"/>
              </w:rPr>
            </w:pP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14:paraId="445548C5" w14:textId="4D78FDDF" w:rsidR="00DF4662" w:rsidRPr="00DF4662" w:rsidRDefault="00DF4662" w:rsidP="00222C02">
            <w:pPr>
              <w:widowControl/>
              <w:spacing w:line="240" w:lineRule="atLeast"/>
              <w:jc w:val="left"/>
              <w:rPr>
                <w:rFonts w:ascii="微软雅黑" w:eastAsia="微软雅黑" w:hAnsi="微软雅黑" w:cs="宋体"/>
                <w:color w:val="484848"/>
                <w:kern w:val="0"/>
                <w:szCs w:val="21"/>
              </w:rPr>
            </w:pPr>
          </w:p>
        </w:tc>
        <w:tc>
          <w:tcPr>
            <w:tcW w:w="594" w:type="dxa"/>
            <w:tcBorders>
              <w:top w:val="nil"/>
              <w:left w:val="nil"/>
              <w:bottom w:val="single" w:sz="8" w:space="0" w:color="auto"/>
              <w:right w:val="single" w:sz="8" w:space="0" w:color="auto"/>
            </w:tcBorders>
            <w:tcMar>
              <w:top w:w="0" w:type="dxa"/>
              <w:left w:w="108" w:type="dxa"/>
              <w:bottom w:w="0" w:type="dxa"/>
              <w:right w:w="108" w:type="dxa"/>
            </w:tcMar>
            <w:hideMark/>
          </w:tcPr>
          <w:p w14:paraId="16D58277" w14:textId="35B03951" w:rsidR="00DF4662" w:rsidRPr="00DF4662" w:rsidRDefault="00DF4662" w:rsidP="00222C02">
            <w:pPr>
              <w:widowControl/>
              <w:spacing w:line="240" w:lineRule="atLeast"/>
              <w:jc w:val="left"/>
              <w:rPr>
                <w:rFonts w:ascii="微软雅黑" w:eastAsia="微软雅黑" w:hAnsi="微软雅黑" w:cs="宋体"/>
                <w:color w:val="484848"/>
                <w:kern w:val="0"/>
                <w:szCs w:val="21"/>
              </w:rPr>
            </w:pPr>
          </w:p>
        </w:tc>
        <w:tc>
          <w:tcPr>
            <w:tcW w:w="59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7FABAFE" w14:textId="4493A215" w:rsidR="00DF4662" w:rsidRPr="00DF4662" w:rsidRDefault="00DF4662" w:rsidP="00222C02">
            <w:pPr>
              <w:widowControl/>
              <w:spacing w:line="240" w:lineRule="atLeast"/>
              <w:jc w:val="left"/>
              <w:rPr>
                <w:rFonts w:ascii="微软雅黑" w:eastAsia="微软雅黑" w:hAnsi="微软雅黑" w:cs="宋体"/>
                <w:color w:val="484848"/>
                <w:kern w:val="0"/>
                <w:szCs w:val="21"/>
              </w:rPr>
            </w:pPr>
          </w:p>
        </w:tc>
        <w:tc>
          <w:tcPr>
            <w:tcW w:w="59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8E458C0" w14:textId="6EBDC84F" w:rsidR="00DF4662" w:rsidRPr="00DF4662" w:rsidRDefault="00DF4662" w:rsidP="00222C02">
            <w:pPr>
              <w:widowControl/>
              <w:spacing w:line="240" w:lineRule="atLeast"/>
              <w:jc w:val="left"/>
              <w:rPr>
                <w:rFonts w:ascii="微软雅黑" w:eastAsia="微软雅黑" w:hAnsi="微软雅黑" w:cs="宋体"/>
                <w:color w:val="484848"/>
                <w:kern w:val="0"/>
                <w:szCs w:val="21"/>
              </w:rPr>
            </w:pPr>
          </w:p>
        </w:tc>
      </w:tr>
      <w:tr w:rsidR="00222C02" w:rsidRPr="00DF4662" w14:paraId="0DAFB828" w14:textId="77777777" w:rsidTr="00222C02">
        <w:trPr>
          <w:trHeight w:val="615"/>
          <w:jc w:val="center"/>
        </w:trPr>
        <w:tc>
          <w:tcPr>
            <w:tcW w:w="548" w:type="dxa"/>
            <w:vMerge/>
            <w:tcBorders>
              <w:top w:val="nil"/>
              <w:left w:val="single" w:sz="8" w:space="0" w:color="auto"/>
              <w:bottom w:val="single" w:sz="8" w:space="0" w:color="auto"/>
              <w:right w:val="single" w:sz="8" w:space="0" w:color="auto"/>
            </w:tcBorders>
            <w:vAlign w:val="center"/>
            <w:hideMark/>
          </w:tcPr>
          <w:p w14:paraId="59AB2C40" w14:textId="77777777"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6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CD7077" w14:textId="77777777" w:rsidR="00222C02" w:rsidRPr="00DF4662" w:rsidRDefault="00222C02" w:rsidP="00222C02">
            <w:pPr>
              <w:widowControl/>
              <w:spacing w:line="240" w:lineRule="atLeast"/>
              <w:jc w:val="center"/>
              <w:rPr>
                <w:rFonts w:ascii="微软雅黑" w:eastAsia="微软雅黑" w:hAnsi="微软雅黑" w:cs="宋体"/>
                <w:color w:val="484848"/>
                <w:kern w:val="0"/>
                <w:szCs w:val="21"/>
              </w:rPr>
            </w:pPr>
            <w:r w:rsidRPr="00DF4662">
              <w:rPr>
                <w:rFonts w:ascii="仿宋" w:eastAsia="仿宋" w:hAnsi="仿宋" w:cs="宋体" w:hint="eastAsia"/>
                <w:color w:val="484848"/>
                <w:kern w:val="0"/>
                <w:szCs w:val="21"/>
              </w:rPr>
              <w:t>2</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14:paraId="62603735" w14:textId="09777CD8"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14:paraId="2032CC04" w14:textId="47FD1BB2"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753" w:type="dxa"/>
            <w:tcBorders>
              <w:top w:val="nil"/>
              <w:left w:val="nil"/>
              <w:bottom w:val="single" w:sz="8" w:space="0" w:color="auto"/>
              <w:right w:val="single" w:sz="8" w:space="0" w:color="auto"/>
            </w:tcBorders>
            <w:tcMar>
              <w:top w:w="0" w:type="dxa"/>
              <w:left w:w="108" w:type="dxa"/>
              <w:bottom w:w="0" w:type="dxa"/>
              <w:right w:w="108" w:type="dxa"/>
            </w:tcMar>
            <w:hideMark/>
          </w:tcPr>
          <w:p w14:paraId="57C96E2C" w14:textId="541C6277"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65947B14" w14:textId="5FFA5129"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14:paraId="0C429A17" w14:textId="21087B3F"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14:paraId="721E2671" w14:textId="5D6CE232"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14:paraId="09B59ED6" w14:textId="352E8EDA"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594" w:type="dxa"/>
            <w:tcBorders>
              <w:top w:val="nil"/>
              <w:left w:val="nil"/>
              <w:bottom w:val="single" w:sz="8" w:space="0" w:color="auto"/>
              <w:right w:val="single" w:sz="8" w:space="0" w:color="auto"/>
            </w:tcBorders>
            <w:tcMar>
              <w:top w:w="0" w:type="dxa"/>
              <w:left w:w="108" w:type="dxa"/>
              <w:bottom w:w="0" w:type="dxa"/>
              <w:right w:w="108" w:type="dxa"/>
            </w:tcMar>
            <w:hideMark/>
          </w:tcPr>
          <w:p w14:paraId="179B2CDF" w14:textId="562B103E"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594" w:type="dxa"/>
            <w:vMerge/>
            <w:tcBorders>
              <w:top w:val="nil"/>
              <w:left w:val="nil"/>
              <w:bottom w:val="single" w:sz="8" w:space="0" w:color="auto"/>
              <w:right w:val="single" w:sz="8" w:space="0" w:color="auto"/>
            </w:tcBorders>
            <w:vAlign w:val="center"/>
            <w:hideMark/>
          </w:tcPr>
          <w:p w14:paraId="3715122C" w14:textId="77777777"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594" w:type="dxa"/>
            <w:vMerge/>
            <w:tcBorders>
              <w:top w:val="nil"/>
              <w:left w:val="nil"/>
              <w:bottom w:val="single" w:sz="8" w:space="0" w:color="auto"/>
              <w:right w:val="single" w:sz="8" w:space="0" w:color="auto"/>
            </w:tcBorders>
            <w:vAlign w:val="center"/>
            <w:hideMark/>
          </w:tcPr>
          <w:p w14:paraId="3E66ED70" w14:textId="77777777"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r>
      <w:tr w:rsidR="00222C02" w:rsidRPr="00DF4662" w14:paraId="4F2B6264" w14:textId="77777777" w:rsidTr="00222C02">
        <w:trPr>
          <w:trHeight w:val="610"/>
          <w:jc w:val="center"/>
        </w:trPr>
        <w:tc>
          <w:tcPr>
            <w:tcW w:w="548" w:type="dxa"/>
            <w:vMerge/>
            <w:tcBorders>
              <w:top w:val="nil"/>
              <w:left w:val="single" w:sz="8" w:space="0" w:color="auto"/>
              <w:bottom w:val="single" w:sz="8" w:space="0" w:color="auto"/>
              <w:right w:val="single" w:sz="8" w:space="0" w:color="auto"/>
            </w:tcBorders>
            <w:vAlign w:val="center"/>
            <w:hideMark/>
          </w:tcPr>
          <w:p w14:paraId="2938A189" w14:textId="77777777"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6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99D7C9" w14:textId="77777777" w:rsidR="00222C02" w:rsidRPr="00DF4662" w:rsidRDefault="00222C02" w:rsidP="00222C02">
            <w:pPr>
              <w:widowControl/>
              <w:spacing w:line="240" w:lineRule="atLeast"/>
              <w:jc w:val="center"/>
              <w:rPr>
                <w:rFonts w:ascii="微软雅黑" w:eastAsia="微软雅黑" w:hAnsi="微软雅黑" w:cs="宋体"/>
                <w:color w:val="484848"/>
                <w:kern w:val="0"/>
                <w:szCs w:val="21"/>
              </w:rPr>
            </w:pPr>
            <w:r w:rsidRPr="00DF4662">
              <w:rPr>
                <w:rFonts w:ascii="仿宋" w:eastAsia="仿宋" w:hAnsi="仿宋" w:cs="宋体" w:hint="eastAsia"/>
                <w:color w:val="484848"/>
                <w:kern w:val="0"/>
                <w:szCs w:val="21"/>
              </w:rPr>
              <w:t>3</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14:paraId="34F8441D" w14:textId="3AB6F5CF"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14:paraId="3359DD62" w14:textId="1800E5E3"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753" w:type="dxa"/>
            <w:tcBorders>
              <w:top w:val="nil"/>
              <w:left w:val="nil"/>
              <w:bottom w:val="single" w:sz="8" w:space="0" w:color="auto"/>
              <w:right w:val="single" w:sz="8" w:space="0" w:color="auto"/>
            </w:tcBorders>
            <w:tcMar>
              <w:top w:w="0" w:type="dxa"/>
              <w:left w:w="108" w:type="dxa"/>
              <w:bottom w:w="0" w:type="dxa"/>
              <w:right w:w="108" w:type="dxa"/>
            </w:tcMar>
            <w:hideMark/>
          </w:tcPr>
          <w:p w14:paraId="198ED212" w14:textId="757FE737"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171DAB5F" w14:textId="46D61A32"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14:paraId="68442324" w14:textId="1EB7DBB0"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14:paraId="19050ECC" w14:textId="0E73BB84"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14:paraId="72155F1B" w14:textId="08ED82DC"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594" w:type="dxa"/>
            <w:tcBorders>
              <w:top w:val="nil"/>
              <w:left w:val="nil"/>
              <w:bottom w:val="single" w:sz="8" w:space="0" w:color="auto"/>
              <w:right w:val="single" w:sz="8" w:space="0" w:color="auto"/>
            </w:tcBorders>
            <w:tcMar>
              <w:top w:w="0" w:type="dxa"/>
              <w:left w:w="108" w:type="dxa"/>
              <w:bottom w:w="0" w:type="dxa"/>
              <w:right w:w="108" w:type="dxa"/>
            </w:tcMar>
            <w:hideMark/>
          </w:tcPr>
          <w:p w14:paraId="38EE7516" w14:textId="1AC1E57A"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594" w:type="dxa"/>
            <w:vMerge/>
            <w:tcBorders>
              <w:top w:val="nil"/>
              <w:left w:val="nil"/>
              <w:bottom w:val="single" w:sz="8" w:space="0" w:color="auto"/>
              <w:right w:val="single" w:sz="8" w:space="0" w:color="auto"/>
            </w:tcBorders>
            <w:vAlign w:val="center"/>
            <w:hideMark/>
          </w:tcPr>
          <w:p w14:paraId="2F0EA496" w14:textId="77777777"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594" w:type="dxa"/>
            <w:vMerge/>
            <w:tcBorders>
              <w:top w:val="nil"/>
              <w:left w:val="nil"/>
              <w:bottom w:val="single" w:sz="8" w:space="0" w:color="auto"/>
              <w:right w:val="single" w:sz="8" w:space="0" w:color="auto"/>
            </w:tcBorders>
            <w:vAlign w:val="center"/>
            <w:hideMark/>
          </w:tcPr>
          <w:p w14:paraId="5FCCCEEE" w14:textId="77777777"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r>
      <w:tr w:rsidR="00222C02" w:rsidRPr="00DF4662" w14:paraId="549CCEC3" w14:textId="77777777" w:rsidTr="00222C02">
        <w:trPr>
          <w:trHeight w:val="615"/>
          <w:jc w:val="center"/>
        </w:trPr>
        <w:tc>
          <w:tcPr>
            <w:tcW w:w="548" w:type="dxa"/>
            <w:vMerge/>
            <w:tcBorders>
              <w:top w:val="nil"/>
              <w:left w:val="single" w:sz="8" w:space="0" w:color="auto"/>
              <w:bottom w:val="single" w:sz="8" w:space="0" w:color="auto"/>
              <w:right w:val="single" w:sz="8" w:space="0" w:color="auto"/>
            </w:tcBorders>
            <w:vAlign w:val="center"/>
            <w:hideMark/>
          </w:tcPr>
          <w:p w14:paraId="4E6A7FAD" w14:textId="77777777"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6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B0F885" w14:textId="77777777" w:rsidR="00222C02" w:rsidRPr="00DF4662" w:rsidRDefault="00222C02" w:rsidP="00222C02">
            <w:pPr>
              <w:widowControl/>
              <w:spacing w:line="240" w:lineRule="atLeast"/>
              <w:jc w:val="center"/>
              <w:rPr>
                <w:rFonts w:ascii="微软雅黑" w:eastAsia="微软雅黑" w:hAnsi="微软雅黑" w:cs="宋体"/>
                <w:color w:val="484848"/>
                <w:kern w:val="0"/>
                <w:szCs w:val="21"/>
              </w:rPr>
            </w:pPr>
            <w:r w:rsidRPr="00DF4662">
              <w:rPr>
                <w:rFonts w:ascii="仿宋" w:eastAsia="仿宋" w:hAnsi="仿宋" w:cs="宋体" w:hint="eastAsia"/>
                <w:color w:val="484848"/>
                <w:kern w:val="0"/>
                <w:szCs w:val="21"/>
              </w:rPr>
              <w:t>4</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14:paraId="2E3AFD01" w14:textId="210E7F58"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14:paraId="2808DE6A" w14:textId="44380F70"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753" w:type="dxa"/>
            <w:tcBorders>
              <w:top w:val="nil"/>
              <w:left w:val="nil"/>
              <w:bottom w:val="single" w:sz="8" w:space="0" w:color="auto"/>
              <w:right w:val="single" w:sz="8" w:space="0" w:color="auto"/>
            </w:tcBorders>
            <w:tcMar>
              <w:top w:w="0" w:type="dxa"/>
              <w:left w:w="108" w:type="dxa"/>
              <w:bottom w:w="0" w:type="dxa"/>
              <w:right w:w="108" w:type="dxa"/>
            </w:tcMar>
            <w:hideMark/>
          </w:tcPr>
          <w:p w14:paraId="7749542F" w14:textId="35B50591"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532F7A72" w14:textId="7CA36942"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14:paraId="5F794C7E" w14:textId="240A0429"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14:paraId="4B7858E3" w14:textId="2F4E640D"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14:paraId="62F6D182" w14:textId="6D610150"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594" w:type="dxa"/>
            <w:tcBorders>
              <w:top w:val="nil"/>
              <w:left w:val="nil"/>
              <w:bottom w:val="single" w:sz="8" w:space="0" w:color="auto"/>
              <w:right w:val="single" w:sz="8" w:space="0" w:color="auto"/>
            </w:tcBorders>
            <w:tcMar>
              <w:top w:w="0" w:type="dxa"/>
              <w:left w:w="108" w:type="dxa"/>
              <w:bottom w:w="0" w:type="dxa"/>
              <w:right w:w="108" w:type="dxa"/>
            </w:tcMar>
            <w:hideMark/>
          </w:tcPr>
          <w:p w14:paraId="31D04849" w14:textId="3D7C5BEA"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594" w:type="dxa"/>
            <w:vMerge/>
            <w:tcBorders>
              <w:top w:val="nil"/>
              <w:left w:val="nil"/>
              <w:bottom w:val="single" w:sz="8" w:space="0" w:color="auto"/>
              <w:right w:val="single" w:sz="8" w:space="0" w:color="auto"/>
            </w:tcBorders>
            <w:vAlign w:val="center"/>
            <w:hideMark/>
          </w:tcPr>
          <w:p w14:paraId="1E71ED1E" w14:textId="77777777"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594" w:type="dxa"/>
            <w:vMerge/>
            <w:tcBorders>
              <w:top w:val="nil"/>
              <w:left w:val="nil"/>
              <w:bottom w:val="single" w:sz="8" w:space="0" w:color="auto"/>
              <w:right w:val="single" w:sz="8" w:space="0" w:color="auto"/>
            </w:tcBorders>
            <w:vAlign w:val="center"/>
            <w:hideMark/>
          </w:tcPr>
          <w:p w14:paraId="13A24E26" w14:textId="77777777"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r>
      <w:tr w:rsidR="00222C02" w:rsidRPr="00DF4662" w14:paraId="1AB9CC9A" w14:textId="77777777" w:rsidTr="00222C02">
        <w:trPr>
          <w:trHeight w:val="615"/>
          <w:jc w:val="center"/>
        </w:trPr>
        <w:tc>
          <w:tcPr>
            <w:tcW w:w="548" w:type="dxa"/>
            <w:vMerge/>
            <w:tcBorders>
              <w:top w:val="nil"/>
              <w:left w:val="single" w:sz="8" w:space="0" w:color="auto"/>
              <w:bottom w:val="single" w:sz="8" w:space="0" w:color="auto"/>
              <w:right w:val="single" w:sz="8" w:space="0" w:color="auto"/>
            </w:tcBorders>
            <w:vAlign w:val="center"/>
            <w:hideMark/>
          </w:tcPr>
          <w:p w14:paraId="1EB4E935" w14:textId="77777777"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6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34BFB" w14:textId="77777777" w:rsidR="00222C02" w:rsidRPr="00DF4662" w:rsidRDefault="00222C02" w:rsidP="00222C02">
            <w:pPr>
              <w:widowControl/>
              <w:spacing w:line="240" w:lineRule="atLeast"/>
              <w:jc w:val="center"/>
              <w:rPr>
                <w:rFonts w:ascii="微软雅黑" w:eastAsia="微软雅黑" w:hAnsi="微软雅黑" w:cs="宋体"/>
                <w:color w:val="484848"/>
                <w:kern w:val="0"/>
                <w:szCs w:val="21"/>
              </w:rPr>
            </w:pPr>
            <w:r w:rsidRPr="00DF4662">
              <w:rPr>
                <w:rFonts w:ascii="仿宋" w:eastAsia="仿宋" w:hAnsi="仿宋" w:cs="宋体" w:hint="eastAsia"/>
                <w:color w:val="484848"/>
                <w:kern w:val="0"/>
                <w:szCs w:val="21"/>
              </w:rPr>
              <w:t>5</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14:paraId="056698BB" w14:textId="79680D6A"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14:paraId="4BFDE86B" w14:textId="27D79EEF"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753" w:type="dxa"/>
            <w:tcBorders>
              <w:top w:val="nil"/>
              <w:left w:val="nil"/>
              <w:bottom w:val="single" w:sz="8" w:space="0" w:color="auto"/>
              <w:right w:val="single" w:sz="8" w:space="0" w:color="auto"/>
            </w:tcBorders>
            <w:tcMar>
              <w:top w:w="0" w:type="dxa"/>
              <w:left w:w="108" w:type="dxa"/>
              <w:bottom w:w="0" w:type="dxa"/>
              <w:right w:w="108" w:type="dxa"/>
            </w:tcMar>
            <w:hideMark/>
          </w:tcPr>
          <w:p w14:paraId="66CA2A55" w14:textId="15F90161"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74C6FA6F" w14:textId="0CB6B5D1"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14:paraId="10826252" w14:textId="5869C2A7"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14:paraId="7502B023" w14:textId="6C5D758E"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14:paraId="032C3271" w14:textId="5873B036"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594" w:type="dxa"/>
            <w:tcBorders>
              <w:top w:val="nil"/>
              <w:left w:val="nil"/>
              <w:bottom w:val="single" w:sz="8" w:space="0" w:color="auto"/>
              <w:right w:val="single" w:sz="8" w:space="0" w:color="auto"/>
            </w:tcBorders>
            <w:tcMar>
              <w:top w:w="0" w:type="dxa"/>
              <w:left w:w="108" w:type="dxa"/>
              <w:bottom w:w="0" w:type="dxa"/>
              <w:right w:w="108" w:type="dxa"/>
            </w:tcMar>
            <w:hideMark/>
          </w:tcPr>
          <w:p w14:paraId="5197D91D" w14:textId="693BE98C"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594" w:type="dxa"/>
            <w:vMerge/>
            <w:tcBorders>
              <w:top w:val="nil"/>
              <w:left w:val="nil"/>
              <w:bottom w:val="single" w:sz="8" w:space="0" w:color="auto"/>
              <w:right w:val="single" w:sz="8" w:space="0" w:color="auto"/>
            </w:tcBorders>
            <w:vAlign w:val="center"/>
            <w:hideMark/>
          </w:tcPr>
          <w:p w14:paraId="497112FD" w14:textId="77777777"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594" w:type="dxa"/>
            <w:vMerge/>
            <w:tcBorders>
              <w:top w:val="nil"/>
              <w:left w:val="nil"/>
              <w:bottom w:val="single" w:sz="8" w:space="0" w:color="auto"/>
              <w:right w:val="single" w:sz="8" w:space="0" w:color="auto"/>
            </w:tcBorders>
            <w:vAlign w:val="center"/>
            <w:hideMark/>
          </w:tcPr>
          <w:p w14:paraId="11F26282" w14:textId="77777777"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r>
      <w:tr w:rsidR="00222C02" w:rsidRPr="00DF4662" w14:paraId="555981BE" w14:textId="77777777" w:rsidTr="00222C02">
        <w:trPr>
          <w:trHeight w:val="615"/>
          <w:jc w:val="center"/>
        </w:trPr>
        <w:tc>
          <w:tcPr>
            <w:tcW w:w="548" w:type="dxa"/>
            <w:vMerge/>
            <w:tcBorders>
              <w:top w:val="nil"/>
              <w:left w:val="single" w:sz="8" w:space="0" w:color="auto"/>
              <w:bottom w:val="single" w:sz="8" w:space="0" w:color="auto"/>
              <w:right w:val="single" w:sz="8" w:space="0" w:color="auto"/>
            </w:tcBorders>
            <w:vAlign w:val="center"/>
            <w:hideMark/>
          </w:tcPr>
          <w:p w14:paraId="64EAEC56" w14:textId="77777777"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6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98885" w14:textId="77777777" w:rsidR="00222C02" w:rsidRPr="00DF4662" w:rsidRDefault="00222C02" w:rsidP="00222C02">
            <w:pPr>
              <w:widowControl/>
              <w:spacing w:line="240" w:lineRule="atLeast"/>
              <w:jc w:val="center"/>
              <w:rPr>
                <w:rFonts w:ascii="微软雅黑" w:eastAsia="微软雅黑" w:hAnsi="微软雅黑" w:cs="宋体"/>
                <w:color w:val="484848"/>
                <w:kern w:val="0"/>
                <w:szCs w:val="21"/>
              </w:rPr>
            </w:pPr>
            <w:r w:rsidRPr="00DF4662">
              <w:rPr>
                <w:rFonts w:ascii="仿宋" w:eastAsia="仿宋" w:hAnsi="仿宋" w:cs="宋体" w:hint="eastAsia"/>
                <w:color w:val="484848"/>
                <w:kern w:val="0"/>
                <w:szCs w:val="21"/>
              </w:rPr>
              <w:t>6</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14:paraId="087711AA" w14:textId="3419A860"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14:paraId="5AED54D6" w14:textId="575D3401"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753" w:type="dxa"/>
            <w:tcBorders>
              <w:top w:val="nil"/>
              <w:left w:val="nil"/>
              <w:bottom w:val="single" w:sz="8" w:space="0" w:color="auto"/>
              <w:right w:val="single" w:sz="8" w:space="0" w:color="auto"/>
            </w:tcBorders>
            <w:tcMar>
              <w:top w:w="0" w:type="dxa"/>
              <w:left w:w="108" w:type="dxa"/>
              <w:bottom w:w="0" w:type="dxa"/>
              <w:right w:w="108" w:type="dxa"/>
            </w:tcMar>
            <w:hideMark/>
          </w:tcPr>
          <w:p w14:paraId="5DDC8AC7" w14:textId="2DA0EEFE"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70C4E9DA" w14:textId="11FD5DF1"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14:paraId="4D4C502C" w14:textId="4009ADF5"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14:paraId="03AC8B1E" w14:textId="4E636DD0"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14:paraId="0D61BD4B" w14:textId="5778AE49"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594" w:type="dxa"/>
            <w:tcBorders>
              <w:top w:val="nil"/>
              <w:left w:val="nil"/>
              <w:bottom w:val="single" w:sz="8" w:space="0" w:color="auto"/>
              <w:right w:val="single" w:sz="8" w:space="0" w:color="auto"/>
            </w:tcBorders>
            <w:tcMar>
              <w:top w:w="0" w:type="dxa"/>
              <w:left w:w="108" w:type="dxa"/>
              <w:bottom w:w="0" w:type="dxa"/>
              <w:right w:w="108" w:type="dxa"/>
            </w:tcMar>
            <w:hideMark/>
          </w:tcPr>
          <w:p w14:paraId="79A78CFB" w14:textId="4BC30BAC"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594" w:type="dxa"/>
            <w:vMerge/>
            <w:tcBorders>
              <w:top w:val="nil"/>
              <w:left w:val="nil"/>
              <w:bottom w:val="single" w:sz="8" w:space="0" w:color="auto"/>
              <w:right w:val="single" w:sz="8" w:space="0" w:color="auto"/>
            </w:tcBorders>
            <w:vAlign w:val="center"/>
            <w:hideMark/>
          </w:tcPr>
          <w:p w14:paraId="2BD875DE" w14:textId="77777777"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594" w:type="dxa"/>
            <w:vMerge/>
            <w:tcBorders>
              <w:top w:val="nil"/>
              <w:left w:val="nil"/>
              <w:bottom w:val="single" w:sz="8" w:space="0" w:color="auto"/>
              <w:right w:val="single" w:sz="8" w:space="0" w:color="auto"/>
            </w:tcBorders>
            <w:vAlign w:val="center"/>
            <w:hideMark/>
          </w:tcPr>
          <w:p w14:paraId="2A2E82B7" w14:textId="77777777"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r>
      <w:tr w:rsidR="00222C02" w:rsidRPr="00DF4662" w14:paraId="672F2338" w14:textId="77777777" w:rsidTr="00222C02">
        <w:trPr>
          <w:trHeight w:val="615"/>
          <w:jc w:val="center"/>
        </w:trPr>
        <w:tc>
          <w:tcPr>
            <w:tcW w:w="548" w:type="dxa"/>
            <w:vMerge/>
            <w:tcBorders>
              <w:top w:val="nil"/>
              <w:left w:val="single" w:sz="8" w:space="0" w:color="auto"/>
              <w:bottom w:val="single" w:sz="8" w:space="0" w:color="auto"/>
              <w:right w:val="single" w:sz="8" w:space="0" w:color="auto"/>
            </w:tcBorders>
            <w:vAlign w:val="center"/>
            <w:hideMark/>
          </w:tcPr>
          <w:p w14:paraId="65D33900" w14:textId="77777777"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6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EB32D" w14:textId="77777777" w:rsidR="00222C02" w:rsidRPr="00DF4662" w:rsidRDefault="00222C02" w:rsidP="00222C02">
            <w:pPr>
              <w:widowControl/>
              <w:spacing w:line="240" w:lineRule="atLeast"/>
              <w:jc w:val="center"/>
              <w:rPr>
                <w:rFonts w:ascii="微软雅黑" w:eastAsia="微软雅黑" w:hAnsi="微软雅黑" w:cs="宋体"/>
                <w:color w:val="484848"/>
                <w:kern w:val="0"/>
                <w:szCs w:val="21"/>
              </w:rPr>
            </w:pPr>
            <w:r w:rsidRPr="00DF4662">
              <w:rPr>
                <w:rFonts w:ascii="仿宋" w:eastAsia="仿宋" w:hAnsi="仿宋" w:cs="宋体" w:hint="eastAsia"/>
                <w:color w:val="484848"/>
                <w:kern w:val="0"/>
                <w:szCs w:val="21"/>
              </w:rPr>
              <w:t>7</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14:paraId="476CC10E" w14:textId="14A3A792"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14:paraId="32370BBB" w14:textId="65603699"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753" w:type="dxa"/>
            <w:tcBorders>
              <w:top w:val="nil"/>
              <w:left w:val="nil"/>
              <w:bottom w:val="single" w:sz="8" w:space="0" w:color="auto"/>
              <w:right w:val="single" w:sz="8" w:space="0" w:color="auto"/>
            </w:tcBorders>
            <w:tcMar>
              <w:top w:w="0" w:type="dxa"/>
              <w:left w:w="108" w:type="dxa"/>
              <w:bottom w:w="0" w:type="dxa"/>
              <w:right w:w="108" w:type="dxa"/>
            </w:tcMar>
            <w:hideMark/>
          </w:tcPr>
          <w:p w14:paraId="04C9D004" w14:textId="371B6C04"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4D3DDD14" w14:textId="320BA687"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14:paraId="595727DF" w14:textId="0400510E"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14:paraId="7FA18D85" w14:textId="1B32288E"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14:paraId="73BF1CA7" w14:textId="6E4A9857"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594" w:type="dxa"/>
            <w:tcBorders>
              <w:top w:val="nil"/>
              <w:left w:val="nil"/>
              <w:bottom w:val="single" w:sz="8" w:space="0" w:color="auto"/>
              <w:right w:val="single" w:sz="8" w:space="0" w:color="auto"/>
            </w:tcBorders>
            <w:tcMar>
              <w:top w:w="0" w:type="dxa"/>
              <w:left w:w="108" w:type="dxa"/>
              <w:bottom w:w="0" w:type="dxa"/>
              <w:right w:w="108" w:type="dxa"/>
            </w:tcMar>
            <w:hideMark/>
          </w:tcPr>
          <w:p w14:paraId="05BB1DE5" w14:textId="3EC329C2"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594" w:type="dxa"/>
            <w:vMerge/>
            <w:tcBorders>
              <w:top w:val="nil"/>
              <w:left w:val="nil"/>
              <w:bottom w:val="single" w:sz="8" w:space="0" w:color="auto"/>
              <w:right w:val="single" w:sz="8" w:space="0" w:color="auto"/>
            </w:tcBorders>
            <w:vAlign w:val="center"/>
            <w:hideMark/>
          </w:tcPr>
          <w:p w14:paraId="76768AF7" w14:textId="77777777"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594" w:type="dxa"/>
            <w:vMerge/>
            <w:tcBorders>
              <w:top w:val="nil"/>
              <w:left w:val="nil"/>
              <w:bottom w:val="single" w:sz="8" w:space="0" w:color="auto"/>
              <w:right w:val="single" w:sz="8" w:space="0" w:color="auto"/>
            </w:tcBorders>
            <w:vAlign w:val="center"/>
            <w:hideMark/>
          </w:tcPr>
          <w:p w14:paraId="3CBE2F73" w14:textId="77777777"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r>
      <w:tr w:rsidR="00222C02" w:rsidRPr="00DF4662" w14:paraId="0C5B78A2" w14:textId="77777777" w:rsidTr="00222C02">
        <w:trPr>
          <w:trHeight w:val="610"/>
          <w:jc w:val="center"/>
        </w:trPr>
        <w:tc>
          <w:tcPr>
            <w:tcW w:w="548" w:type="dxa"/>
            <w:vMerge/>
            <w:tcBorders>
              <w:top w:val="nil"/>
              <w:left w:val="single" w:sz="8" w:space="0" w:color="auto"/>
              <w:bottom w:val="single" w:sz="8" w:space="0" w:color="auto"/>
              <w:right w:val="single" w:sz="8" w:space="0" w:color="auto"/>
            </w:tcBorders>
            <w:vAlign w:val="center"/>
            <w:hideMark/>
          </w:tcPr>
          <w:p w14:paraId="16671062" w14:textId="77777777"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6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C4ECE" w14:textId="77777777" w:rsidR="00222C02" w:rsidRPr="00DF4662" w:rsidRDefault="00222C02" w:rsidP="00222C02">
            <w:pPr>
              <w:widowControl/>
              <w:spacing w:line="240" w:lineRule="atLeast"/>
              <w:jc w:val="center"/>
              <w:rPr>
                <w:rFonts w:ascii="微软雅黑" w:eastAsia="微软雅黑" w:hAnsi="微软雅黑" w:cs="宋体"/>
                <w:color w:val="484848"/>
                <w:kern w:val="0"/>
                <w:szCs w:val="21"/>
              </w:rPr>
            </w:pPr>
            <w:r w:rsidRPr="00DF4662">
              <w:rPr>
                <w:rFonts w:ascii="仿宋" w:eastAsia="仿宋" w:hAnsi="仿宋" w:cs="宋体" w:hint="eastAsia"/>
                <w:color w:val="484848"/>
                <w:kern w:val="0"/>
                <w:szCs w:val="21"/>
              </w:rPr>
              <w:t>8</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14:paraId="2697E817" w14:textId="6025BD88"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14:paraId="2CAF7720" w14:textId="22E5043E"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753" w:type="dxa"/>
            <w:tcBorders>
              <w:top w:val="nil"/>
              <w:left w:val="nil"/>
              <w:bottom w:val="single" w:sz="8" w:space="0" w:color="auto"/>
              <w:right w:val="single" w:sz="8" w:space="0" w:color="auto"/>
            </w:tcBorders>
            <w:tcMar>
              <w:top w:w="0" w:type="dxa"/>
              <w:left w:w="108" w:type="dxa"/>
              <w:bottom w:w="0" w:type="dxa"/>
              <w:right w:w="108" w:type="dxa"/>
            </w:tcMar>
            <w:hideMark/>
          </w:tcPr>
          <w:p w14:paraId="6279C603" w14:textId="46E07F56"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74AE548D" w14:textId="2D81E4A7"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14:paraId="5EEEA1E7" w14:textId="6B2DAF69"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14:paraId="03C5FE5A" w14:textId="52AF39B1"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14:paraId="5DBB7798" w14:textId="27452088"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594" w:type="dxa"/>
            <w:tcBorders>
              <w:top w:val="nil"/>
              <w:left w:val="nil"/>
              <w:bottom w:val="single" w:sz="8" w:space="0" w:color="auto"/>
              <w:right w:val="single" w:sz="8" w:space="0" w:color="auto"/>
            </w:tcBorders>
            <w:tcMar>
              <w:top w:w="0" w:type="dxa"/>
              <w:left w:w="108" w:type="dxa"/>
              <w:bottom w:w="0" w:type="dxa"/>
              <w:right w:w="108" w:type="dxa"/>
            </w:tcMar>
            <w:hideMark/>
          </w:tcPr>
          <w:p w14:paraId="7BE7E532" w14:textId="21FDC418"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594" w:type="dxa"/>
            <w:vMerge/>
            <w:tcBorders>
              <w:top w:val="nil"/>
              <w:left w:val="nil"/>
              <w:bottom w:val="single" w:sz="8" w:space="0" w:color="auto"/>
              <w:right w:val="single" w:sz="8" w:space="0" w:color="auto"/>
            </w:tcBorders>
            <w:vAlign w:val="center"/>
            <w:hideMark/>
          </w:tcPr>
          <w:p w14:paraId="0A50AD59" w14:textId="77777777"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594" w:type="dxa"/>
            <w:vMerge/>
            <w:tcBorders>
              <w:top w:val="nil"/>
              <w:left w:val="nil"/>
              <w:bottom w:val="single" w:sz="8" w:space="0" w:color="auto"/>
              <w:right w:val="single" w:sz="8" w:space="0" w:color="auto"/>
            </w:tcBorders>
            <w:vAlign w:val="center"/>
            <w:hideMark/>
          </w:tcPr>
          <w:p w14:paraId="5416DE50" w14:textId="77777777"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r>
      <w:tr w:rsidR="00222C02" w:rsidRPr="00DF4662" w14:paraId="5A89CA18" w14:textId="77777777" w:rsidTr="00222C02">
        <w:trPr>
          <w:trHeight w:val="615"/>
          <w:jc w:val="center"/>
        </w:trPr>
        <w:tc>
          <w:tcPr>
            <w:tcW w:w="548" w:type="dxa"/>
            <w:vMerge/>
            <w:tcBorders>
              <w:top w:val="nil"/>
              <w:left w:val="single" w:sz="8" w:space="0" w:color="auto"/>
              <w:bottom w:val="single" w:sz="8" w:space="0" w:color="auto"/>
              <w:right w:val="single" w:sz="8" w:space="0" w:color="auto"/>
            </w:tcBorders>
            <w:vAlign w:val="center"/>
            <w:hideMark/>
          </w:tcPr>
          <w:p w14:paraId="2C2FA2F7" w14:textId="77777777"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6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8B957A" w14:textId="77777777" w:rsidR="00222C02" w:rsidRPr="00DF4662" w:rsidRDefault="00222C02" w:rsidP="00222C02">
            <w:pPr>
              <w:widowControl/>
              <w:spacing w:line="240" w:lineRule="atLeast"/>
              <w:jc w:val="center"/>
              <w:rPr>
                <w:rFonts w:ascii="微软雅黑" w:eastAsia="微软雅黑" w:hAnsi="微软雅黑" w:cs="宋体"/>
                <w:color w:val="484848"/>
                <w:kern w:val="0"/>
                <w:szCs w:val="21"/>
              </w:rPr>
            </w:pPr>
            <w:r w:rsidRPr="00DF4662">
              <w:rPr>
                <w:rFonts w:ascii="仿宋" w:eastAsia="仿宋" w:hAnsi="仿宋" w:cs="宋体" w:hint="eastAsia"/>
                <w:color w:val="484848"/>
                <w:kern w:val="0"/>
                <w:szCs w:val="21"/>
              </w:rPr>
              <w:t>9</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14:paraId="17F2488F" w14:textId="1F589986"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14:paraId="44D64441" w14:textId="25066420"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753" w:type="dxa"/>
            <w:tcBorders>
              <w:top w:val="nil"/>
              <w:left w:val="nil"/>
              <w:bottom w:val="single" w:sz="8" w:space="0" w:color="auto"/>
              <w:right w:val="single" w:sz="8" w:space="0" w:color="auto"/>
            </w:tcBorders>
            <w:tcMar>
              <w:top w:w="0" w:type="dxa"/>
              <w:left w:w="108" w:type="dxa"/>
              <w:bottom w:w="0" w:type="dxa"/>
              <w:right w:w="108" w:type="dxa"/>
            </w:tcMar>
            <w:hideMark/>
          </w:tcPr>
          <w:p w14:paraId="6B055531" w14:textId="013BED2E"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46A22200" w14:textId="7306B11C"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14:paraId="54FF34BD" w14:textId="62C5703D"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14:paraId="5D970F39" w14:textId="4B6FBD49"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14:paraId="072FF260" w14:textId="18BD6D4B"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594" w:type="dxa"/>
            <w:tcBorders>
              <w:top w:val="nil"/>
              <w:left w:val="nil"/>
              <w:bottom w:val="single" w:sz="8" w:space="0" w:color="auto"/>
              <w:right w:val="single" w:sz="8" w:space="0" w:color="auto"/>
            </w:tcBorders>
            <w:tcMar>
              <w:top w:w="0" w:type="dxa"/>
              <w:left w:w="108" w:type="dxa"/>
              <w:bottom w:w="0" w:type="dxa"/>
              <w:right w:w="108" w:type="dxa"/>
            </w:tcMar>
            <w:hideMark/>
          </w:tcPr>
          <w:p w14:paraId="5571F93B" w14:textId="36168C92"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594" w:type="dxa"/>
            <w:vMerge/>
            <w:tcBorders>
              <w:top w:val="nil"/>
              <w:left w:val="nil"/>
              <w:bottom w:val="single" w:sz="8" w:space="0" w:color="auto"/>
              <w:right w:val="single" w:sz="8" w:space="0" w:color="auto"/>
            </w:tcBorders>
            <w:vAlign w:val="center"/>
            <w:hideMark/>
          </w:tcPr>
          <w:p w14:paraId="10733AA8" w14:textId="77777777"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594" w:type="dxa"/>
            <w:vMerge/>
            <w:tcBorders>
              <w:top w:val="nil"/>
              <w:left w:val="nil"/>
              <w:bottom w:val="single" w:sz="8" w:space="0" w:color="auto"/>
              <w:right w:val="single" w:sz="8" w:space="0" w:color="auto"/>
            </w:tcBorders>
            <w:vAlign w:val="center"/>
            <w:hideMark/>
          </w:tcPr>
          <w:p w14:paraId="2F9DF9ED" w14:textId="77777777"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r>
      <w:tr w:rsidR="00222C02" w:rsidRPr="00DF4662" w14:paraId="71CAF88B" w14:textId="77777777" w:rsidTr="00222C02">
        <w:trPr>
          <w:trHeight w:val="615"/>
          <w:jc w:val="center"/>
        </w:trPr>
        <w:tc>
          <w:tcPr>
            <w:tcW w:w="548" w:type="dxa"/>
            <w:vMerge/>
            <w:tcBorders>
              <w:top w:val="nil"/>
              <w:left w:val="single" w:sz="8" w:space="0" w:color="auto"/>
              <w:bottom w:val="single" w:sz="8" w:space="0" w:color="auto"/>
              <w:right w:val="single" w:sz="8" w:space="0" w:color="auto"/>
            </w:tcBorders>
            <w:vAlign w:val="center"/>
            <w:hideMark/>
          </w:tcPr>
          <w:p w14:paraId="731AE21E" w14:textId="77777777"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6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18C36" w14:textId="77777777" w:rsidR="00222C02" w:rsidRPr="00DF4662" w:rsidRDefault="00222C02" w:rsidP="00222C02">
            <w:pPr>
              <w:widowControl/>
              <w:spacing w:line="240" w:lineRule="atLeast"/>
              <w:jc w:val="center"/>
              <w:rPr>
                <w:rFonts w:ascii="微软雅黑" w:eastAsia="微软雅黑" w:hAnsi="微软雅黑" w:cs="宋体"/>
                <w:color w:val="484848"/>
                <w:kern w:val="0"/>
                <w:szCs w:val="21"/>
              </w:rPr>
            </w:pPr>
            <w:r w:rsidRPr="00DF4662">
              <w:rPr>
                <w:rFonts w:ascii="仿宋" w:eastAsia="仿宋" w:hAnsi="仿宋" w:cs="宋体" w:hint="eastAsia"/>
                <w:color w:val="484848"/>
                <w:kern w:val="0"/>
                <w:szCs w:val="21"/>
              </w:rPr>
              <w:t>10</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14:paraId="5E4CE26F" w14:textId="1A1B8AF8"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14:paraId="4697AEF7" w14:textId="2DAEFBF9"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753" w:type="dxa"/>
            <w:tcBorders>
              <w:top w:val="nil"/>
              <w:left w:val="nil"/>
              <w:bottom w:val="single" w:sz="8" w:space="0" w:color="auto"/>
              <w:right w:val="single" w:sz="8" w:space="0" w:color="auto"/>
            </w:tcBorders>
            <w:tcMar>
              <w:top w:w="0" w:type="dxa"/>
              <w:left w:w="108" w:type="dxa"/>
              <w:bottom w:w="0" w:type="dxa"/>
              <w:right w:w="108" w:type="dxa"/>
            </w:tcMar>
            <w:hideMark/>
          </w:tcPr>
          <w:p w14:paraId="4420101F" w14:textId="2D055BEC"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1385" w:type="dxa"/>
            <w:tcBorders>
              <w:top w:val="nil"/>
              <w:left w:val="nil"/>
              <w:bottom w:val="single" w:sz="8" w:space="0" w:color="auto"/>
              <w:right w:val="single" w:sz="8" w:space="0" w:color="auto"/>
            </w:tcBorders>
            <w:tcMar>
              <w:top w:w="0" w:type="dxa"/>
              <w:left w:w="108" w:type="dxa"/>
              <w:bottom w:w="0" w:type="dxa"/>
              <w:right w:w="108" w:type="dxa"/>
            </w:tcMar>
            <w:hideMark/>
          </w:tcPr>
          <w:p w14:paraId="1D175FAA" w14:textId="41A425C1"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14:paraId="24BDAD8A" w14:textId="51493FB8"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14:paraId="1BB74421" w14:textId="021E512F"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14:paraId="60BD53EB" w14:textId="601D3BA8"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594" w:type="dxa"/>
            <w:tcBorders>
              <w:top w:val="nil"/>
              <w:left w:val="nil"/>
              <w:bottom w:val="single" w:sz="8" w:space="0" w:color="auto"/>
              <w:right w:val="single" w:sz="8" w:space="0" w:color="auto"/>
            </w:tcBorders>
            <w:tcMar>
              <w:top w:w="0" w:type="dxa"/>
              <w:left w:w="108" w:type="dxa"/>
              <w:bottom w:w="0" w:type="dxa"/>
              <w:right w:w="108" w:type="dxa"/>
            </w:tcMar>
            <w:hideMark/>
          </w:tcPr>
          <w:p w14:paraId="5A494579" w14:textId="5C869617"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594" w:type="dxa"/>
            <w:vMerge/>
            <w:tcBorders>
              <w:top w:val="nil"/>
              <w:left w:val="nil"/>
              <w:bottom w:val="single" w:sz="8" w:space="0" w:color="auto"/>
              <w:right w:val="single" w:sz="8" w:space="0" w:color="auto"/>
            </w:tcBorders>
            <w:vAlign w:val="center"/>
            <w:hideMark/>
          </w:tcPr>
          <w:p w14:paraId="47FB0A66" w14:textId="77777777"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c>
          <w:tcPr>
            <w:tcW w:w="594" w:type="dxa"/>
            <w:vMerge/>
            <w:tcBorders>
              <w:top w:val="nil"/>
              <w:left w:val="nil"/>
              <w:bottom w:val="single" w:sz="8" w:space="0" w:color="auto"/>
              <w:right w:val="single" w:sz="8" w:space="0" w:color="auto"/>
            </w:tcBorders>
            <w:vAlign w:val="center"/>
            <w:hideMark/>
          </w:tcPr>
          <w:p w14:paraId="04CAC3EC" w14:textId="77777777" w:rsidR="00222C02" w:rsidRPr="00DF4662" w:rsidRDefault="00222C02" w:rsidP="00222C02">
            <w:pPr>
              <w:widowControl/>
              <w:spacing w:line="240" w:lineRule="atLeast"/>
              <w:jc w:val="left"/>
              <w:rPr>
                <w:rFonts w:ascii="微软雅黑" w:eastAsia="微软雅黑" w:hAnsi="微软雅黑" w:cs="宋体"/>
                <w:color w:val="484848"/>
                <w:kern w:val="0"/>
                <w:szCs w:val="21"/>
              </w:rPr>
            </w:pPr>
          </w:p>
        </w:tc>
      </w:tr>
    </w:tbl>
    <w:p w14:paraId="12ADD519" w14:textId="42BBA943" w:rsidR="00DF4662" w:rsidRPr="00DF4662" w:rsidRDefault="00DF4662" w:rsidP="00DF4662">
      <w:pPr>
        <w:widowControl/>
        <w:rPr>
          <w:rFonts w:ascii="仿宋" w:eastAsia="仿宋" w:hAnsi="仿宋" w:cs="宋体"/>
          <w:color w:val="484848"/>
          <w:kern w:val="0"/>
          <w:sz w:val="32"/>
          <w:szCs w:val="32"/>
        </w:rPr>
      </w:pPr>
    </w:p>
    <w:p w14:paraId="31D4E970" w14:textId="5DDDF7F6" w:rsidR="00DF4662" w:rsidRPr="00DF4662" w:rsidRDefault="00DF4662" w:rsidP="00DF4662">
      <w:pPr>
        <w:widowControl/>
        <w:rPr>
          <w:rFonts w:ascii="仿宋" w:eastAsia="仿宋" w:hAnsi="仿宋" w:cs="宋体"/>
          <w:color w:val="484848"/>
          <w:kern w:val="0"/>
          <w:sz w:val="32"/>
          <w:szCs w:val="32"/>
        </w:rPr>
      </w:pPr>
      <w:r w:rsidRPr="00DF4662">
        <w:rPr>
          <w:rFonts w:ascii="微软雅黑" w:eastAsia="微软雅黑" w:hAnsi="微软雅黑" w:cs="宋体" w:hint="eastAsia"/>
          <w:color w:val="484848"/>
          <w:kern w:val="0"/>
          <w:sz w:val="28"/>
          <w:szCs w:val="28"/>
        </w:rPr>
        <w:t>注：送检时间，接收时间格式为XX月XX日XX时，采集时间格式为XX时；检测结果如为ORF1ab或N基因单独阳性，需详细列出。</w:t>
      </w:r>
    </w:p>
    <w:p w14:paraId="3932D75E" w14:textId="77777777" w:rsidR="00DF4662" w:rsidRPr="00DF4662" w:rsidRDefault="00DF4662" w:rsidP="003B3336">
      <w:pPr>
        <w:rPr>
          <w:rFonts w:ascii="微软雅黑" w:eastAsia="微软雅黑" w:hAnsi="微软雅黑"/>
          <w:b/>
          <w:bCs/>
          <w:color w:val="FF0000"/>
          <w:shd w:val="pct15" w:color="auto" w:fill="FFFFFF"/>
        </w:rPr>
      </w:pPr>
    </w:p>
    <w:sectPr w:rsidR="00DF4662" w:rsidRPr="00DF4662" w:rsidSect="00DF4662">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9B40A" w14:textId="77777777" w:rsidR="002B3B98" w:rsidRDefault="002B3B98" w:rsidP="00914CF9">
      <w:r>
        <w:separator/>
      </w:r>
    </w:p>
  </w:endnote>
  <w:endnote w:type="continuationSeparator" w:id="0">
    <w:p w14:paraId="18CBB585" w14:textId="77777777" w:rsidR="002B3B98" w:rsidRDefault="002B3B98" w:rsidP="0091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D89C6" w14:textId="77777777" w:rsidR="002B3B98" w:rsidRDefault="002B3B98" w:rsidP="00914CF9">
      <w:r>
        <w:separator/>
      </w:r>
    </w:p>
  </w:footnote>
  <w:footnote w:type="continuationSeparator" w:id="0">
    <w:p w14:paraId="254845D8" w14:textId="77777777" w:rsidR="002B3B98" w:rsidRDefault="002B3B98" w:rsidP="00914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056"/>
    <w:rsid w:val="001671DC"/>
    <w:rsid w:val="001A6540"/>
    <w:rsid w:val="00222C02"/>
    <w:rsid w:val="002342BA"/>
    <w:rsid w:val="00264183"/>
    <w:rsid w:val="002B3B98"/>
    <w:rsid w:val="002E24E5"/>
    <w:rsid w:val="00357AAF"/>
    <w:rsid w:val="00381BDA"/>
    <w:rsid w:val="003B3336"/>
    <w:rsid w:val="00572056"/>
    <w:rsid w:val="005A74AE"/>
    <w:rsid w:val="00914CF9"/>
    <w:rsid w:val="00A052EE"/>
    <w:rsid w:val="00AE5127"/>
    <w:rsid w:val="00AE6EC9"/>
    <w:rsid w:val="00AF7E8A"/>
    <w:rsid w:val="00BD184E"/>
    <w:rsid w:val="00D631E2"/>
    <w:rsid w:val="00DF4662"/>
    <w:rsid w:val="00E77FD5"/>
    <w:rsid w:val="00F32F02"/>
    <w:rsid w:val="00F82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46934"/>
  <w15:chartTrackingRefBased/>
  <w15:docId w15:val="{3B11D24C-00D7-4349-8A28-825FAD6E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C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4CF9"/>
    <w:rPr>
      <w:sz w:val="18"/>
      <w:szCs w:val="18"/>
    </w:rPr>
  </w:style>
  <w:style w:type="paragraph" w:styleId="a5">
    <w:name w:val="footer"/>
    <w:basedOn w:val="a"/>
    <w:link w:val="a6"/>
    <w:uiPriority w:val="99"/>
    <w:unhideWhenUsed/>
    <w:rsid w:val="00914CF9"/>
    <w:pPr>
      <w:tabs>
        <w:tab w:val="center" w:pos="4153"/>
        <w:tab w:val="right" w:pos="8306"/>
      </w:tabs>
      <w:snapToGrid w:val="0"/>
      <w:jc w:val="left"/>
    </w:pPr>
    <w:rPr>
      <w:sz w:val="18"/>
      <w:szCs w:val="18"/>
    </w:rPr>
  </w:style>
  <w:style w:type="character" w:customStyle="1" w:styleId="a6">
    <w:name w:val="页脚 字符"/>
    <w:basedOn w:val="a0"/>
    <w:link w:val="a5"/>
    <w:uiPriority w:val="99"/>
    <w:rsid w:val="00914CF9"/>
    <w:rPr>
      <w:sz w:val="18"/>
      <w:szCs w:val="18"/>
    </w:rPr>
  </w:style>
  <w:style w:type="paragraph" w:styleId="a7">
    <w:name w:val="Normal (Web)"/>
    <w:basedOn w:val="a"/>
    <w:uiPriority w:val="99"/>
    <w:unhideWhenUsed/>
    <w:rsid w:val="00DF466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F46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742027">
      <w:bodyDiv w:val="1"/>
      <w:marLeft w:val="0"/>
      <w:marRight w:val="0"/>
      <w:marTop w:val="0"/>
      <w:marBottom w:val="0"/>
      <w:divBdr>
        <w:top w:val="none" w:sz="0" w:space="0" w:color="auto"/>
        <w:left w:val="none" w:sz="0" w:space="0" w:color="auto"/>
        <w:bottom w:val="none" w:sz="0" w:space="0" w:color="auto"/>
        <w:right w:val="none" w:sz="0" w:space="0" w:color="auto"/>
      </w:divBdr>
    </w:div>
    <w:div w:id="1042753367">
      <w:bodyDiv w:val="1"/>
      <w:marLeft w:val="0"/>
      <w:marRight w:val="0"/>
      <w:marTop w:val="0"/>
      <w:marBottom w:val="0"/>
      <w:divBdr>
        <w:top w:val="none" w:sz="0" w:space="0" w:color="auto"/>
        <w:left w:val="none" w:sz="0" w:space="0" w:color="auto"/>
        <w:bottom w:val="none" w:sz="0" w:space="0" w:color="auto"/>
        <w:right w:val="none" w:sz="0" w:space="0" w:color="auto"/>
      </w:divBdr>
    </w:div>
    <w:div w:id="1505172790">
      <w:bodyDiv w:val="1"/>
      <w:marLeft w:val="0"/>
      <w:marRight w:val="0"/>
      <w:marTop w:val="0"/>
      <w:marBottom w:val="0"/>
      <w:divBdr>
        <w:top w:val="none" w:sz="0" w:space="0" w:color="auto"/>
        <w:left w:val="none" w:sz="0" w:space="0" w:color="auto"/>
        <w:bottom w:val="none" w:sz="0" w:space="0" w:color="auto"/>
        <w:right w:val="none" w:sz="0" w:space="0" w:color="auto"/>
      </w:divBdr>
      <w:divsChild>
        <w:div w:id="1549994384">
          <w:marLeft w:val="0"/>
          <w:marRight w:val="0"/>
          <w:marTop w:val="0"/>
          <w:marBottom w:val="330"/>
          <w:divBdr>
            <w:top w:val="none" w:sz="0" w:space="0" w:color="auto"/>
            <w:left w:val="none" w:sz="0" w:space="0" w:color="auto"/>
            <w:bottom w:val="none" w:sz="0" w:space="0" w:color="auto"/>
            <w:right w:val="none" w:sz="0" w:space="0" w:color="auto"/>
          </w:divBdr>
        </w:div>
      </w:divsChild>
    </w:div>
    <w:div w:id="167811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11</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zuojun</dc:creator>
  <cp:keywords/>
  <dc:description/>
  <cp:lastModifiedBy>shen zuojun</cp:lastModifiedBy>
  <cp:revision>9</cp:revision>
  <dcterms:created xsi:type="dcterms:W3CDTF">2020-11-10T15:31:00Z</dcterms:created>
  <dcterms:modified xsi:type="dcterms:W3CDTF">2020-11-10T17:04:00Z</dcterms:modified>
</cp:coreProperties>
</file>