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2EE4" w14:textId="7B020E3B" w:rsidR="00914CF9" w:rsidRDefault="002342BA" w:rsidP="002342BA">
      <w:pPr>
        <w:jc w:val="center"/>
        <w:rPr>
          <w:rFonts w:ascii="微软雅黑" w:eastAsia="微软雅黑" w:hAnsi="微软雅黑"/>
          <w:b/>
          <w:bCs/>
          <w:color w:val="FF0000"/>
          <w:shd w:val="pct15" w:color="auto" w:fill="FFFFFF"/>
        </w:rPr>
      </w:pPr>
      <w:r>
        <w:rPr>
          <w:rFonts w:ascii="微软雅黑" w:eastAsia="微软雅黑" w:hAnsi="微软雅黑" w:hint="eastAsia"/>
          <w:color w:val="1966A7"/>
          <w:sz w:val="36"/>
          <w:szCs w:val="36"/>
        </w:rPr>
        <w:t>关于印发新冠病毒核酸10合1混采检测技术规范的通知</w:t>
      </w:r>
    </w:p>
    <w:p w14:paraId="617078F5" w14:textId="32DD3A74" w:rsidR="002342BA" w:rsidRDefault="002342BA" w:rsidP="003B3336">
      <w:pPr>
        <w:rPr>
          <w:rFonts w:ascii="微软雅黑" w:eastAsia="微软雅黑" w:hAnsi="微软雅黑"/>
          <w:b/>
          <w:bCs/>
          <w:color w:val="FF0000"/>
          <w:shd w:val="pct15" w:color="auto" w:fill="FFFFFF"/>
        </w:rPr>
      </w:pPr>
    </w:p>
    <w:p w14:paraId="30FD64B0" w14:textId="7B1B0DD3" w:rsidR="00DF4662" w:rsidRDefault="00DF4662" w:rsidP="00DF4662">
      <w:pPr>
        <w:pStyle w:val="a7"/>
        <w:spacing w:before="0" w:beforeAutospacing="0" w:after="0" w:afterAutospacing="0"/>
        <w:jc w:val="center"/>
        <w:rPr>
          <w:rFonts w:ascii="仿宋" w:eastAsia="仿宋" w:hAnsi="仿宋"/>
          <w:color w:val="484848"/>
          <w:sz w:val="32"/>
          <w:szCs w:val="32"/>
        </w:rPr>
      </w:pPr>
      <w:r>
        <w:rPr>
          <w:rFonts w:ascii="仿宋" w:eastAsia="仿宋" w:hAnsi="仿宋" w:hint="eastAsia"/>
          <w:color w:val="484848"/>
          <w:sz w:val="32"/>
          <w:szCs w:val="32"/>
        </w:rPr>
        <w:t>联防联控机制医疗发〔2020〕352号</w:t>
      </w:r>
    </w:p>
    <w:p w14:paraId="040C8144" w14:textId="59702D36" w:rsidR="00DF4662" w:rsidRDefault="00DF4662" w:rsidP="00DF4662">
      <w:pPr>
        <w:pStyle w:val="a7"/>
        <w:spacing w:before="0" w:beforeAutospacing="0" w:after="0" w:afterAutospacing="0"/>
        <w:jc w:val="both"/>
        <w:rPr>
          <w:rFonts w:ascii="仿宋" w:eastAsia="仿宋" w:hAnsi="仿宋"/>
          <w:color w:val="484848"/>
          <w:sz w:val="32"/>
          <w:szCs w:val="32"/>
        </w:rPr>
      </w:pPr>
    </w:p>
    <w:p w14:paraId="1F6E5816" w14:textId="77777777" w:rsidR="00357AAF" w:rsidRDefault="00DF4662" w:rsidP="00DF4662">
      <w:pPr>
        <w:pStyle w:val="a7"/>
        <w:spacing w:before="0" w:beforeAutospacing="0" w:after="0" w:afterAutospacing="0"/>
        <w:jc w:val="both"/>
        <w:rPr>
          <w:rFonts w:ascii="仿宋" w:eastAsia="仿宋" w:hAnsi="仿宋"/>
          <w:color w:val="484848"/>
          <w:sz w:val="32"/>
          <w:szCs w:val="32"/>
        </w:rPr>
      </w:pPr>
      <w:r>
        <w:rPr>
          <w:rFonts w:ascii="仿宋" w:eastAsia="仿宋" w:hAnsi="仿宋" w:hint="eastAsia"/>
          <w:color w:val="484848"/>
          <w:sz w:val="32"/>
          <w:szCs w:val="32"/>
        </w:rPr>
        <w:t>各省、自治区、直辖市及新疆生产建设兵团应对新冠肺炎疫情联防联控机制（领导小组、指挥部）：</w:t>
      </w:r>
    </w:p>
    <w:p w14:paraId="6EC7D28F" w14:textId="1E940F0D" w:rsidR="00DF4662" w:rsidRDefault="00DF4662" w:rsidP="00357AAF">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为指导各地做好新冠病毒混采检测工作，进一步提升新冠病毒核酸检测能力和效率，落实“四早”要求，有效满足疫情常态化防控需求，我们组织制定了《新冠病毒核酸10合1混采检测技术规范》。现印发给你们，供参考使用。</w:t>
      </w:r>
    </w:p>
    <w:p w14:paraId="416C26C6" w14:textId="1178ACA0" w:rsidR="00DF4662" w:rsidRDefault="00DF4662" w:rsidP="00DF4662">
      <w:pPr>
        <w:pStyle w:val="a7"/>
        <w:spacing w:before="0" w:beforeAutospacing="0" w:after="0" w:afterAutospacing="0"/>
        <w:jc w:val="both"/>
        <w:rPr>
          <w:rFonts w:ascii="仿宋" w:eastAsia="仿宋" w:hAnsi="仿宋"/>
          <w:color w:val="484848"/>
          <w:sz w:val="32"/>
          <w:szCs w:val="32"/>
        </w:rPr>
      </w:pPr>
    </w:p>
    <w:p w14:paraId="5D8325DA" w14:textId="0B501116" w:rsidR="00357AAF" w:rsidRDefault="00357AAF" w:rsidP="00DF4662">
      <w:pPr>
        <w:pStyle w:val="a7"/>
        <w:spacing w:before="0" w:beforeAutospacing="0" w:after="0" w:afterAutospacing="0"/>
        <w:jc w:val="both"/>
        <w:rPr>
          <w:rFonts w:ascii="仿宋" w:eastAsia="仿宋" w:hAnsi="仿宋"/>
          <w:color w:val="484848"/>
          <w:sz w:val="32"/>
          <w:szCs w:val="32"/>
        </w:rPr>
      </w:pPr>
    </w:p>
    <w:p w14:paraId="19AC3A42" w14:textId="77777777" w:rsidR="00357AAF" w:rsidRDefault="00357AAF" w:rsidP="00DF4662">
      <w:pPr>
        <w:pStyle w:val="a7"/>
        <w:spacing w:before="0" w:beforeAutospacing="0" w:after="0" w:afterAutospacing="0"/>
        <w:jc w:val="both"/>
        <w:rPr>
          <w:rFonts w:ascii="仿宋" w:eastAsia="仿宋" w:hAnsi="仿宋"/>
          <w:color w:val="484848"/>
          <w:sz w:val="32"/>
          <w:szCs w:val="32"/>
        </w:rPr>
      </w:pPr>
    </w:p>
    <w:p w14:paraId="6D186048" w14:textId="77777777" w:rsidR="00DF4662" w:rsidRDefault="00DF4662" w:rsidP="00DF4662">
      <w:pPr>
        <w:pStyle w:val="a7"/>
        <w:spacing w:before="0" w:beforeAutospacing="0" w:after="0" w:afterAutospacing="0"/>
        <w:jc w:val="right"/>
        <w:rPr>
          <w:rFonts w:ascii="仿宋" w:eastAsia="仿宋" w:hAnsi="仿宋"/>
          <w:color w:val="484848"/>
          <w:sz w:val="32"/>
          <w:szCs w:val="32"/>
        </w:rPr>
      </w:pPr>
      <w:r>
        <w:rPr>
          <w:rFonts w:ascii="仿宋" w:eastAsia="仿宋" w:hAnsi="仿宋" w:hint="eastAsia"/>
          <w:color w:val="484848"/>
          <w:sz w:val="32"/>
          <w:szCs w:val="32"/>
        </w:rPr>
        <w:t>国务院应对新型冠状病毒肺炎疫情</w:t>
      </w:r>
    </w:p>
    <w:p w14:paraId="5B329FA4" w14:textId="77777777" w:rsidR="00DF4662" w:rsidRDefault="00DF4662" w:rsidP="00DF4662">
      <w:pPr>
        <w:pStyle w:val="a7"/>
        <w:spacing w:before="0" w:beforeAutospacing="0" w:after="0" w:afterAutospacing="0"/>
        <w:jc w:val="right"/>
        <w:rPr>
          <w:rFonts w:ascii="仿宋" w:eastAsia="仿宋" w:hAnsi="仿宋"/>
          <w:color w:val="484848"/>
          <w:sz w:val="32"/>
          <w:szCs w:val="32"/>
        </w:rPr>
      </w:pPr>
      <w:r>
        <w:rPr>
          <w:rFonts w:ascii="仿宋" w:eastAsia="仿宋" w:hAnsi="仿宋" w:hint="eastAsia"/>
          <w:color w:val="484848"/>
          <w:sz w:val="32"/>
          <w:szCs w:val="32"/>
        </w:rPr>
        <w:t>联防联控机制医疗救治组</w:t>
      </w:r>
    </w:p>
    <w:p w14:paraId="40234F96" w14:textId="77777777" w:rsidR="00DF4662" w:rsidRDefault="00DF4662" w:rsidP="00DF4662">
      <w:pPr>
        <w:pStyle w:val="a7"/>
        <w:spacing w:before="0" w:beforeAutospacing="0" w:after="0" w:afterAutospacing="0"/>
        <w:jc w:val="right"/>
        <w:rPr>
          <w:rFonts w:ascii="仿宋" w:eastAsia="仿宋" w:hAnsi="仿宋"/>
          <w:color w:val="484848"/>
          <w:sz w:val="32"/>
          <w:szCs w:val="32"/>
        </w:rPr>
      </w:pPr>
      <w:r>
        <w:rPr>
          <w:rFonts w:ascii="仿宋" w:eastAsia="仿宋" w:hAnsi="仿宋" w:hint="eastAsia"/>
          <w:color w:val="484848"/>
          <w:sz w:val="32"/>
          <w:szCs w:val="32"/>
        </w:rPr>
        <w:t>（代章）</w:t>
      </w:r>
    </w:p>
    <w:p w14:paraId="25B114BF" w14:textId="2DCF02E7" w:rsidR="00DF4662" w:rsidRDefault="00DF4662" w:rsidP="00DF4662">
      <w:pPr>
        <w:pStyle w:val="a7"/>
        <w:spacing w:before="0" w:beforeAutospacing="0" w:after="0" w:afterAutospacing="0"/>
        <w:jc w:val="right"/>
        <w:rPr>
          <w:rFonts w:ascii="仿宋" w:eastAsia="仿宋" w:hAnsi="仿宋"/>
          <w:color w:val="484848"/>
          <w:sz w:val="32"/>
          <w:szCs w:val="32"/>
        </w:rPr>
      </w:pPr>
      <w:r>
        <w:rPr>
          <w:rFonts w:ascii="仿宋" w:eastAsia="仿宋" w:hAnsi="仿宋" w:hint="eastAsia"/>
          <w:color w:val="484848"/>
          <w:sz w:val="32"/>
          <w:szCs w:val="32"/>
        </w:rPr>
        <w:t>2020年8月17日</w:t>
      </w:r>
    </w:p>
    <w:p w14:paraId="6C1839BF" w14:textId="4DBF583D" w:rsidR="002342BA" w:rsidRDefault="002342BA" w:rsidP="003B3336">
      <w:pPr>
        <w:rPr>
          <w:rFonts w:ascii="微软雅黑" w:eastAsia="微软雅黑" w:hAnsi="微软雅黑"/>
          <w:b/>
          <w:bCs/>
          <w:color w:val="FF0000"/>
          <w:shd w:val="pct15" w:color="auto" w:fill="FFFFFF"/>
        </w:rPr>
      </w:pPr>
    </w:p>
    <w:p w14:paraId="40A8EF7B" w14:textId="2BF81AED" w:rsidR="00DF4662" w:rsidRDefault="00DF4662" w:rsidP="003B3336">
      <w:pPr>
        <w:rPr>
          <w:rFonts w:ascii="微软雅黑" w:eastAsia="微软雅黑" w:hAnsi="微软雅黑"/>
          <w:b/>
          <w:bCs/>
          <w:color w:val="FF0000"/>
          <w:shd w:val="pct15" w:color="auto" w:fill="FFFFFF"/>
        </w:rPr>
      </w:pPr>
    </w:p>
    <w:p w14:paraId="682DB662" w14:textId="3CBAC7F6" w:rsidR="00DF4662" w:rsidRDefault="00DF4662" w:rsidP="003B3336">
      <w:pPr>
        <w:rPr>
          <w:rFonts w:ascii="微软雅黑" w:eastAsia="微软雅黑" w:hAnsi="微软雅黑"/>
          <w:b/>
          <w:bCs/>
          <w:color w:val="FF0000"/>
          <w:shd w:val="pct15" w:color="auto" w:fill="FFFFFF"/>
        </w:rPr>
      </w:pPr>
    </w:p>
    <w:p w14:paraId="6495F398" w14:textId="67AEF624" w:rsidR="00DF4662" w:rsidRDefault="00DF4662" w:rsidP="003B3336">
      <w:pPr>
        <w:rPr>
          <w:rFonts w:ascii="微软雅黑" w:eastAsia="微软雅黑" w:hAnsi="微软雅黑"/>
          <w:b/>
          <w:bCs/>
          <w:color w:val="FF0000"/>
          <w:shd w:val="pct15" w:color="auto" w:fill="FFFFFF"/>
        </w:rPr>
      </w:pPr>
    </w:p>
    <w:p w14:paraId="3E25C0CF" w14:textId="49629718" w:rsidR="00DF4662" w:rsidRDefault="00DF4662" w:rsidP="003B3336">
      <w:pPr>
        <w:rPr>
          <w:rFonts w:ascii="微软雅黑" w:eastAsia="微软雅黑" w:hAnsi="微软雅黑"/>
          <w:b/>
          <w:bCs/>
          <w:color w:val="FF0000"/>
          <w:shd w:val="pct15" w:color="auto" w:fill="FFFFFF"/>
        </w:rPr>
      </w:pPr>
    </w:p>
    <w:p w14:paraId="1BDDF487" w14:textId="4CF000DF" w:rsidR="00DF4662" w:rsidRDefault="00DF4662" w:rsidP="00357AAF">
      <w:pPr>
        <w:pStyle w:val="a7"/>
        <w:spacing w:before="0" w:beforeAutospacing="0" w:after="0" w:afterAutospacing="0"/>
        <w:jc w:val="center"/>
        <w:rPr>
          <w:rFonts w:ascii="仿宋" w:eastAsia="仿宋" w:hAnsi="仿宋"/>
          <w:color w:val="484848"/>
          <w:sz w:val="32"/>
          <w:szCs w:val="32"/>
        </w:rPr>
      </w:pPr>
      <w:r>
        <w:rPr>
          <w:rStyle w:val="a8"/>
          <w:rFonts w:ascii="微软雅黑" w:eastAsia="微软雅黑" w:hAnsi="微软雅黑" w:hint="eastAsia"/>
          <w:color w:val="484848"/>
          <w:sz w:val="44"/>
          <w:szCs w:val="44"/>
        </w:rPr>
        <w:lastRenderedPageBreak/>
        <w:t>新冠病毒核酸10合1混采检测技术规范</w:t>
      </w:r>
    </w:p>
    <w:p w14:paraId="6DD0C299" w14:textId="77777777" w:rsidR="00357AAF" w:rsidRDefault="00DF4662" w:rsidP="00357AAF">
      <w:pPr>
        <w:pStyle w:val="a7"/>
        <w:spacing w:beforeLines="100" w:before="312"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为落实国务院应对新冠病毒感染肺炎疫情联防联控机制《关于做好新冠肺炎疫情常态化防控工作的指导意见》（国发明电〔2020〕14号）以及《关于加快推进新冠病毒核酸检测的实施意见》（联防联控机制综发﹝2020﹞181号）有关要求，指导各地新冠病毒混采检测工作，进一步提升核酸检测能力和效率，针对新冠病毒核酸10合1混采检测（10-in-1 test）技术（指将采集自10人的10支</w:t>
      </w:r>
      <w:proofErr w:type="gramStart"/>
      <w:r>
        <w:rPr>
          <w:rFonts w:ascii="仿宋" w:eastAsia="仿宋" w:hAnsi="仿宋" w:hint="eastAsia"/>
          <w:color w:val="484848"/>
          <w:sz w:val="32"/>
          <w:szCs w:val="32"/>
        </w:rPr>
        <w:t>拭</w:t>
      </w:r>
      <w:proofErr w:type="gramEnd"/>
      <w:r>
        <w:rPr>
          <w:rFonts w:ascii="仿宋" w:eastAsia="仿宋" w:hAnsi="仿宋" w:hint="eastAsia"/>
          <w:color w:val="484848"/>
          <w:sz w:val="32"/>
          <w:szCs w:val="32"/>
        </w:rPr>
        <w:t>子集合于1个采集管中进行核酸检测的方法），制定本规范。</w:t>
      </w:r>
    </w:p>
    <w:p w14:paraId="00FCD175" w14:textId="77777777" w:rsidR="00357AAF" w:rsidRDefault="00DF4662" w:rsidP="00357AAF">
      <w:pPr>
        <w:pStyle w:val="a7"/>
        <w:spacing w:beforeLines="100" w:before="312"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一、样本采集耗材规格</w:t>
      </w:r>
    </w:p>
    <w:p w14:paraId="3B4B1A00" w14:textId="77777777" w:rsidR="00357AAF" w:rsidRDefault="00DF4662" w:rsidP="00357AAF">
      <w:pPr>
        <w:pStyle w:val="a7"/>
        <w:spacing w:beforeLines="100" w:before="312"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（一）病毒采集管。</w:t>
      </w:r>
    </w:p>
    <w:p w14:paraId="799612B9" w14:textId="67DEE14A" w:rsidR="00357AAF" w:rsidRDefault="00DF4662" w:rsidP="00357AAF">
      <w:pPr>
        <w:pStyle w:val="a7"/>
        <w:spacing w:beforeLines="100" w:before="312"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管帽和管体应当为聚丙烯材质，螺旋口可密封，松紧适度。管体透明，可视度好。试管外径（14.8±0.2）mm×（100.5±0.4）mm,管帽外径（15.8±0.15）mm,高度（12.5±0.5）mm。容量企业定标10 ml，内含6ml</w:t>
      </w:r>
      <w:proofErr w:type="gramStart"/>
      <w:r>
        <w:rPr>
          <w:rFonts w:ascii="仿宋" w:eastAsia="仿宋" w:hAnsi="仿宋" w:hint="eastAsia"/>
          <w:color w:val="484848"/>
          <w:sz w:val="32"/>
          <w:szCs w:val="32"/>
        </w:rPr>
        <w:t>胍</w:t>
      </w:r>
      <w:proofErr w:type="gramEnd"/>
      <w:r>
        <w:rPr>
          <w:rFonts w:ascii="仿宋" w:eastAsia="仿宋" w:hAnsi="仿宋" w:hint="eastAsia"/>
          <w:color w:val="484848"/>
          <w:sz w:val="32"/>
          <w:szCs w:val="32"/>
        </w:rPr>
        <w:t>盐或其他有效病毒灭活剂的保存液。保存液应当带有易于观察、辨识的颜色（如粉红色），并保持一定的流动性，方便取样。</w:t>
      </w:r>
    </w:p>
    <w:p w14:paraId="29A51ABB" w14:textId="77777777" w:rsidR="00357AAF" w:rsidRDefault="00DF4662" w:rsidP="00357AAF">
      <w:pPr>
        <w:pStyle w:val="a7"/>
        <w:spacing w:beforeLines="100" w:before="312"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（二）采集拭子。</w:t>
      </w:r>
    </w:p>
    <w:p w14:paraId="5A5F8544" w14:textId="77777777" w:rsidR="00357AAF" w:rsidRDefault="00DF4662" w:rsidP="00357AAF">
      <w:pPr>
        <w:pStyle w:val="a7"/>
        <w:spacing w:beforeLines="100" w:before="312"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lastRenderedPageBreak/>
        <w:t>宜选用聚酯、尼龙等非棉质、</w:t>
      </w:r>
      <w:proofErr w:type="gramStart"/>
      <w:r>
        <w:rPr>
          <w:rFonts w:ascii="仿宋" w:eastAsia="仿宋" w:hAnsi="仿宋" w:hint="eastAsia"/>
          <w:color w:val="484848"/>
          <w:sz w:val="32"/>
          <w:szCs w:val="32"/>
        </w:rPr>
        <w:t>非藻酸</w:t>
      </w:r>
      <w:proofErr w:type="gramEnd"/>
      <w:r>
        <w:rPr>
          <w:rFonts w:ascii="仿宋" w:eastAsia="仿宋" w:hAnsi="仿宋" w:hint="eastAsia"/>
          <w:color w:val="484848"/>
          <w:sz w:val="32"/>
          <w:szCs w:val="32"/>
        </w:rPr>
        <w:t>钙材质的拭子，且柄部为非木质材料。折断点位于距拭子头顶端3cm左右，易于折断。</w:t>
      </w:r>
    </w:p>
    <w:p w14:paraId="27993A4D" w14:textId="77777777" w:rsidR="00357AAF" w:rsidRDefault="00DF4662" w:rsidP="00357AAF">
      <w:pPr>
        <w:pStyle w:val="a7"/>
        <w:spacing w:beforeLines="100" w:before="312"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二、采集地点要求</w:t>
      </w:r>
    </w:p>
    <w:p w14:paraId="054D2821" w14:textId="77777777" w:rsidR="005A74AE" w:rsidRDefault="00DF4662" w:rsidP="00357AAF">
      <w:pPr>
        <w:pStyle w:val="a7"/>
        <w:spacing w:beforeLines="100" w:before="312"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选择空旷、通风良好的场地作为大规模人群筛查集中采集地点。根据原有场地条件，划分为等候区、采集区、缓冲区和临时隔离区，有效分散待检人员密度。应当设置急救设备备用。</w:t>
      </w:r>
    </w:p>
    <w:p w14:paraId="7545C3BA"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（一）等候区。</w:t>
      </w:r>
    </w:p>
    <w:p w14:paraId="297DBA8C"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设置人行通道，同时设置</w:t>
      </w:r>
      <w:proofErr w:type="gramStart"/>
      <w:r>
        <w:rPr>
          <w:rFonts w:ascii="仿宋" w:eastAsia="仿宋" w:hAnsi="仿宋" w:hint="eastAsia"/>
          <w:color w:val="484848"/>
          <w:sz w:val="32"/>
          <w:szCs w:val="32"/>
        </w:rPr>
        <w:t>一</w:t>
      </w:r>
      <w:proofErr w:type="gramEnd"/>
      <w:r>
        <w:rPr>
          <w:rFonts w:ascii="仿宋" w:eastAsia="仿宋" w:hAnsi="仿宋" w:hint="eastAsia"/>
          <w:color w:val="484848"/>
          <w:sz w:val="32"/>
          <w:szCs w:val="32"/>
        </w:rPr>
        <w:t>米线保证等候人员的防护安全。根据天气条件配备保温、降温，遮阳、遮雨等设施。老年人、儿童、孕妇和其他行动不便者优先采集。</w:t>
      </w:r>
    </w:p>
    <w:p w14:paraId="2B6BEB77"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楷体" w:eastAsia="楷体" w:hAnsi="楷体" w:hint="eastAsia"/>
          <w:color w:val="484848"/>
          <w:sz w:val="32"/>
          <w:szCs w:val="32"/>
        </w:rPr>
        <w:t>（二）采集区。</w:t>
      </w:r>
    </w:p>
    <w:p w14:paraId="12A18AC6"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根据气候条件，配备帐篷、冷/暖风扇、适量桌椅，保证医护人员在相对舒适环境下工作。配备采集用消毒用品、拭子、病毒采集管，并应当为受检人员准备纸巾、呕吐袋和口罩备用。标本如无法及时运送至实验室，需准备4℃冰箱或低温保存箱暂存。应当制定防止病原微生物扩散和感染的应急预案。</w:t>
      </w:r>
    </w:p>
    <w:p w14:paraId="5C448012"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（三）缓冲区。</w:t>
      </w:r>
    </w:p>
    <w:p w14:paraId="6BD9A64D"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空间应当相对密闭，可供采集人员更换个人防护装备，放置与采样点规模相匹配的防护用品、采集用消毒用品、拭子和采集管，</w:t>
      </w:r>
      <w:proofErr w:type="gramStart"/>
      <w:r>
        <w:rPr>
          <w:rFonts w:ascii="仿宋" w:eastAsia="仿宋" w:hAnsi="仿宋" w:hint="eastAsia"/>
          <w:color w:val="484848"/>
          <w:sz w:val="32"/>
          <w:szCs w:val="32"/>
        </w:rPr>
        <w:t>户外消</w:t>
      </w:r>
      <w:proofErr w:type="gramEnd"/>
      <w:r>
        <w:rPr>
          <w:rFonts w:ascii="仿宋" w:eastAsia="仿宋" w:hAnsi="仿宋" w:hint="eastAsia"/>
          <w:color w:val="484848"/>
          <w:sz w:val="32"/>
          <w:szCs w:val="32"/>
        </w:rPr>
        <w:t>杀设备。</w:t>
      </w:r>
    </w:p>
    <w:p w14:paraId="100B7DA2"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（四）临时隔离区。</w:t>
      </w:r>
    </w:p>
    <w:p w14:paraId="5A90268E"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lastRenderedPageBreak/>
        <w:t>用于暂时隔离在采集过程中发现的疑似患者或高危人群。</w:t>
      </w:r>
    </w:p>
    <w:p w14:paraId="1BCF8DBE" w14:textId="77777777" w:rsidR="005A74A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三、采集流程</w:t>
      </w:r>
    </w:p>
    <w:p w14:paraId="4FD2D636"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（一）标识及信息登记。</w:t>
      </w:r>
    </w:p>
    <w:p w14:paraId="5C823744"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1.登记流程。工作人员在采集前分配10个受检者为一组，采集前收集并登记受检者相关信息（包括姓名、性别、身份证号、联系电话、采集地点、采集日期和时间），按照组别进行采集管编号。</w:t>
      </w:r>
    </w:p>
    <w:p w14:paraId="5CC8720D"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2.登记要求。推荐使用身份证读卡器、</w:t>
      </w:r>
      <w:proofErr w:type="gramStart"/>
      <w:r>
        <w:rPr>
          <w:rFonts w:ascii="仿宋" w:eastAsia="仿宋" w:hAnsi="仿宋" w:hint="eastAsia"/>
          <w:color w:val="484848"/>
          <w:sz w:val="32"/>
          <w:szCs w:val="32"/>
        </w:rPr>
        <w:t>二维码条码</w:t>
      </w:r>
      <w:proofErr w:type="gramEnd"/>
      <w:r>
        <w:rPr>
          <w:rFonts w:ascii="仿宋" w:eastAsia="仿宋" w:hAnsi="仿宋" w:hint="eastAsia"/>
          <w:color w:val="484848"/>
          <w:sz w:val="32"/>
          <w:szCs w:val="32"/>
        </w:rPr>
        <w:t>等信息化手段关联受检者信息，提高信息读取效率和准确性。如不具备信息化条件，应当提前登记《新冠病毒核酸10合1混采检测登记表》（见附件，以下简称混采登记表）。纸质登记表随标本送检前应当备份存档于采集点所在社区，便于及时追溯受检者。</w:t>
      </w:r>
    </w:p>
    <w:p w14:paraId="3E58F81D"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（二）采集方法。</w:t>
      </w:r>
    </w:p>
    <w:p w14:paraId="48B3193C"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被采集人员头部微仰，嘴张大，发“啊”音，露出两侧咽扁桃体，采集人员将拭子越过被采集人员舌根，在两侧咽扁桃体稍微用力来回擦拭至少3次，然后在咽后壁上下擦拭至少3次。操作完毕后，将拭子头置入管中、拭子折断点置于管口处，稍用力折断使拭子头落入采集管的液体中，弃去折断后的拭子杆，旋紧管盖，将采集管置于稳定的置物架上。每例采集后采集人员均应进行手消毒。</w:t>
      </w:r>
    </w:p>
    <w:p w14:paraId="6D96EC23"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（三）混合拭子。</w:t>
      </w:r>
    </w:p>
    <w:p w14:paraId="7A6AC4F1" w14:textId="77777777" w:rsidR="005A74A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依照上述采集方法依次采集其余9支拭子，将完成采集的拭子放入同一采集管中，动作轻柔，避免气溶胶产生。连续采集10</w:t>
      </w:r>
      <w:r>
        <w:rPr>
          <w:rFonts w:ascii="仿宋" w:eastAsia="仿宋" w:hAnsi="仿宋" w:hint="eastAsia"/>
          <w:color w:val="484848"/>
          <w:sz w:val="32"/>
          <w:szCs w:val="32"/>
        </w:rPr>
        <w:lastRenderedPageBreak/>
        <w:t>支拭子以后，旋紧管盖，防止溢洒。如采集管内拭子不足10支，应做好特殊标记并记录。</w:t>
      </w:r>
    </w:p>
    <w:p w14:paraId="1A3E69E8" w14:textId="77777777" w:rsidR="005A74A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四、标本送检</w:t>
      </w:r>
    </w:p>
    <w:p w14:paraId="07DE9D9D" w14:textId="77777777" w:rsidR="005A74A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（一）核对信息。</w:t>
      </w:r>
    </w:p>
    <w:p w14:paraId="639540C4"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核对采集管标签与混采登记表信息，确保准确完整，编号一致。</w:t>
      </w:r>
    </w:p>
    <w:p w14:paraId="78766E42"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（二）标本放置要求。</w:t>
      </w:r>
    </w:p>
    <w:p w14:paraId="15416D1B"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将核对后的采集管放入透明塑料密封袋（一层容器）中并封严袋口，用75%乙醇喷洒密封袋外部。将密封袋放入二层容器（可选内配适量吸湿材料的包装盒或双层医用垃圾袋），密封后用75%乙醇喷洒消毒。将二层容器放入具有“生物危害”标识的专用标本转运箱（推荐使用符合《危险品航空安全运输技术细则》A类物品运输UN2814标准的转运箱），二层容器和转运</w:t>
      </w:r>
      <w:proofErr w:type="gramStart"/>
      <w:r>
        <w:rPr>
          <w:rFonts w:ascii="仿宋" w:eastAsia="仿宋" w:hAnsi="仿宋" w:hint="eastAsia"/>
          <w:color w:val="484848"/>
          <w:sz w:val="32"/>
          <w:szCs w:val="32"/>
        </w:rPr>
        <w:t>箱之间</w:t>
      </w:r>
      <w:proofErr w:type="gramEnd"/>
      <w:r>
        <w:rPr>
          <w:rFonts w:ascii="仿宋" w:eastAsia="仿宋" w:hAnsi="仿宋" w:hint="eastAsia"/>
          <w:color w:val="484848"/>
          <w:sz w:val="32"/>
          <w:szCs w:val="32"/>
        </w:rPr>
        <w:t>应当放置降温凝胶冰袋。二层容器应当固定在转运箱中，保持标本直立。密封转运箱后，使用75%乙醇喷洒消毒，转运箱表面洁净无污染。</w:t>
      </w:r>
    </w:p>
    <w:p w14:paraId="015FB119"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（三）标本转运要求。</w:t>
      </w:r>
    </w:p>
    <w:p w14:paraId="7C2A19FD"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标准转运</w:t>
      </w:r>
      <w:proofErr w:type="gramStart"/>
      <w:r>
        <w:rPr>
          <w:rFonts w:ascii="仿宋" w:eastAsia="仿宋" w:hAnsi="仿宋" w:hint="eastAsia"/>
          <w:color w:val="484848"/>
          <w:sz w:val="32"/>
          <w:szCs w:val="32"/>
        </w:rPr>
        <w:t>箱应当</w:t>
      </w:r>
      <w:proofErr w:type="gramEnd"/>
      <w:r>
        <w:rPr>
          <w:rFonts w:ascii="仿宋" w:eastAsia="仿宋" w:hAnsi="仿宋" w:hint="eastAsia"/>
          <w:color w:val="484848"/>
          <w:sz w:val="32"/>
          <w:szCs w:val="32"/>
        </w:rPr>
        <w:t>由专门标本运送人员负责运送。标本应当在采集后2—4小时内送至实验室。混采登记表放入独立密封袋，随转运箱一同转运。不能立即送检的，应当配备专门的冰箱或冷藏箱保存，并做好标本接收、保存登记。标本采集后24小时内可置于4℃保存。</w:t>
      </w:r>
    </w:p>
    <w:p w14:paraId="7C39E646" w14:textId="77777777" w:rsidR="00BD184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五、实验室接收</w:t>
      </w:r>
    </w:p>
    <w:p w14:paraId="64E03FD8"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（一）标本签收。</w:t>
      </w:r>
    </w:p>
    <w:p w14:paraId="0FCF37DF"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lastRenderedPageBreak/>
        <w:t>运送和接收人员应当对标本进行双签收。接收人员检查混采登记表是否填写完整，被检者信息是否可追溯，转运箱、二层容器有无破损。</w:t>
      </w:r>
    </w:p>
    <w:p w14:paraId="2203795A"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（二）标本打开。</w:t>
      </w:r>
    </w:p>
    <w:p w14:paraId="2D0FDE30"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应当在生物安全二级实验室核心区打开转运箱，取出二层容器。在生物安全柜中打开二层容器，用75%乙醇喷洒或擦拭消毒后，取出密封袋，用75%乙醇试剂喷洒或擦拭消毒，并检查是否密封完好。</w:t>
      </w:r>
    </w:p>
    <w:p w14:paraId="59222FD0"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（三）标本检查。</w:t>
      </w:r>
    </w:p>
    <w:p w14:paraId="2B7EB8BE"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核对采集管标签与混采登记表信息是否一致。取出采集管，检查管壁是否有破损、管口渗漏等，确认无破损、渗漏后用75%乙醇喷洒或擦拭消毒。如有破损、渗漏，应当立即停止操作，用吸水纸覆盖后使用0.55%含氯消毒剂进行消毒处理，做好不合格登记后销毁。</w:t>
      </w:r>
    </w:p>
    <w:p w14:paraId="14CFD66A"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（四）标本保存。</w:t>
      </w:r>
    </w:p>
    <w:p w14:paraId="0B2923C5"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不能及时检测的标本放入专用冰箱保存。24小时内检测的标本可置于4℃保存。24小时内无法检测的标本应当置于-70℃或以下温度保存。如无-70℃保存条件，则于-20℃暂存。避免标本反复冻融。设立专库或专柜保存标本，双人双锁管理。</w:t>
      </w:r>
    </w:p>
    <w:p w14:paraId="6DF190CE"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（五）转运容器移出。</w:t>
      </w:r>
    </w:p>
    <w:p w14:paraId="22765021"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使用后的二层容器内外壁经75%乙醇擦拭消毒后移出生物安全柜，实验结束后使用紫外灯照射消毒。</w:t>
      </w:r>
    </w:p>
    <w:p w14:paraId="26CB76C1" w14:textId="77777777" w:rsidR="00BD184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lastRenderedPageBreak/>
        <w:t>六、标本检测与质量控制</w:t>
      </w:r>
    </w:p>
    <w:p w14:paraId="798CBD9A"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（一）标本检测。</w:t>
      </w:r>
    </w:p>
    <w:p w14:paraId="4036F7C4"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实验室接收标本后，应当立即进行检测。检测前进行充分震荡洗脱，之后进行核酸提取及扩增实验。推荐选用包含针对新冠病毒开放读码框1ab（open reading frame 1ab，ORF1ab）和核壳蛋白（nucleocapsid protein，N）基因区域的试剂。若使用核酸提取仪，核酸提取试剂应与核酸提取仪配套使用。扩增试剂</w:t>
      </w:r>
      <w:proofErr w:type="gramStart"/>
      <w:r>
        <w:rPr>
          <w:rFonts w:ascii="仿宋" w:eastAsia="仿宋" w:hAnsi="仿宋" w:hint="eastAsia"/>
          <w:color w:val="484848"/>
          <w:sz w:val="32"/>
          <w:szCs w:val="32"/>
        </w:rPr>
        <w:t>盒应当</w:t>
      </w:r>
      <w:proofErr w:type="gramEnd"/>
      <w:r>
        <w:rPr>
          <w:rFonts w:ascii="仿宋" w:eastAsia="仿宋" w:hAnsi="仿宋" w:hint="eastAsia"/>
          <w:color w:val="484848"/>
          <w:sz w:val="32"/>
          <w:szCs w:val="32"/>
        </w:rPr>
        <w:t>选用国家药品监督管理局批准带有注册文号的试剂盒。建议选择检测限低、灵敏度高的检测试剂盒。</w:t>
      </w:r>
    </w:p>
    <w:p w14:paraId="24887F87"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（二）检测质控。</w:t>
      </w:r>
    </w:p>
    <w:p w14:paraId="422D6153"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每批检测至少有1份弱阳性质控品（</w:t>
      </w:r>
      <w:proofErr w:type="gramStart"/>
      <w:r>
        <w:rPr>
          <w:rFonts w:ascii="仿宋" w:eastAsia="仿宋" w:hAnsi="仿宋" w:hint="eastAsia"/>
          <w:color w:val="484848"/>
          <w:sz w:val="32"/>
          <w:szCs w:val="32"/>
        </w:rPr>
        <w:t>第三方质控</w:t>
      </w:r>
      <w:proofErr w:type="gramEnd"/>
      <w:r>
        <w:rPr>
          <w:rFonts w:ascii="仿宋" w:eastAsia="仿宋" w:hAnsi="仿宋" w:hint="eastAsia"/>
          <w:color w:val="484848"/>
          <w:sz w:val="32"/>
          <w:szCs w:val="32"/>
        </w:rPr>
        <w:t>品，通常为检出限的3倍左右）、2份阴性质控品（</w:t>
      </w:r>
      <w:proofErr w:type="gramStart"/>
      <w:r>
        <w:rPr>
          <w:rFonts w:ascii="仿宋" w:eastAsia="仿宋" w:hAnsi="仿宋" w:hint="eastAsia"/>
          <w:color w:val="484848"/>
          <w:sz w:val="32"/>
          <w:szCs w:val="32"/>
        </w:rPr>
        <w:t>试剂盒自带</w:t>
      </w:r>
      <w:proofErr w:type="gramEnd"/>
      <w:r>
        <w:rPr>
          <w:rFonts w:ascii="仿宋" w:eastAsia="仿宋" w:hAnsi="仿宋" w:hint="eastAsia"/>
          <w:color w:val="484848"/>
          <w:sz w:val="32"/>
          <w:szCs w:val="32"/>
        </w:rPr>
        <w:t>阴性质控品）和1份空白对照品（生理盐水或焦碳酸二乙酯处理水）。空白对照品应当开盖放置在提取仪或操作台面上过夜，用于环境污染评估。</w:t>
      </w:r>
      <w:proofErr w:type="gramStart"/>
      <w:r>
        <w:rPr>
          <w:rFonts w:ascii="仿宋" w:eastAsia="仿宋" w:hAnsi="仿宋" w:hint="eastAsia"/>
          <w:color w:val="484848"/>
          <w:sz w:val="32"/>
          <w:szCs w:val="32"/>
        </w:rPr>
        <w:t>质控品随机</w:t>
      </w:r>
      <w:proofErr w:type="gramEnd"/>
      <w:r>
        <w:rPr>
          <w:rFonts w:ascii="仿宋" w:eastAsia="仿宋" w:hAnsi="仿宋" w:hint="eastAsia"/>
          <w:color w:val="484848"/>
          <w:sz w:val="32"/>
          <w:szCs w:val="32"/>
        </w:rPr>
        <w:t>放在临床标本中，参与从提取到扩增的全过程。</w:t>
      </w:r>
    </w:p>
    <w:p w14:paraId="13E29A64"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（三）质控结果。</w:t>
      </w:r>
    </w:p>
    <w:p w14:paraId="4EF64708"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弱阳性</w:t>
      </w:r>
      <w:proofErr w:type="gramStart"/>
      <w:r>
        <w:rPr>
          <w:rFonts w:ascii="仿宋" w:eastAsia="仿宋" w:hAnsi="仿宋" w:hint="eastAsia"/>
          <w:color w:val="484848"/>
          <w:sz w:val="32"/>
          <w:szCs w:val="32"/>
        </w:rPr>
        <w:t>质控品测定</w:t>
      </w:r>
      <w:proofErr w:type="gramEnd"/>
      <w:r>
        <w:rPr>
          <w:rFonts w:ascii="仿宋" w:eastAsia="仿宋" w:hAnsi="仿宋" w:hint="eastAsia"/>
          <w:color w:val="484848"/>
          <w:sz w:val="32"/>
          <w:szCs w:val="32"/>
        </w:rPr>
        <w:t>为阳性，阴性</w:t>
      </w:r>
      <w:proofErr w:type="gramStart"/>
      <w:r>
        <w:rPr>
          <w:rFonts w:ascii="仿宋" w:eastAsia="仿宋" w:hAnsi="仿宋" w:hint="eastAsia"/>
          <w:color w:val="484848"/>
          <w:sz w:val="32"/>
          <w:szCs w:val="32"/>
        </w:rPr>
        <w:t>质控品全部</w:t>
      </w:r>
      <w:proofErr w:type="gramEnd"/>
      <w:r>
        <w:rPr>
          <w:rFonts w:ascii="仿宋" w:eastAsia="仿宋" w:hAnsi="仿宋" w:hint="eastAsia"/>
          <w:color w:val="484848"/>
          <w:sz w:val="32"/>
          <w:szCs w:val="32"/>
        </w:rPr>
        <w:t>测定为阴性，视为在控。反之，则为失控，不可出具检测报告，应立即分析原因，必要时重新检测标本。</w:t>
      </w:r>
    </w:p>
    <w:p w14:paraId="3D082990" w14:textId="77777777" w:rsidR="00BD184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七、检验结果处理</w:t>
      </w:r>
    </w:p>
    <w:p w14:paraId="1022903F"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新冠病毒核酸定性检测报告应当包括检测结果（检出/阳性、未检出/阴性）、方法学、检出限等。</w:t>
      </w:r>
    </w:p>
    <w:p w14:paraId="19E39D75"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lastRenderedPageBreak/>
        <w:t>（一）结果判断。</w:t>
      </w:r>
    </w:p>
    <w:p w14:paraId="7BD10F0C"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依据所用扩增试剂说明书，判断检测结果为未检出/阴性或者检出/阳性。</w:t>
      </w:r>
      <w:proofErr w:type="gramStart"/>
      <w:r>
        <w:rPr>
          <w:rFonts w:ascii="仿宋" w:eastAsia="仿宋" w:hAnsi="仿宋" w:hint="eastAsia"/>
          <w:color w:val="484848"/>
          <w:sz w:val="32"/>
          <w:szCs w:val="32"/>
        </w:rPr>
        <w:t>若结果</w:t>
      </w:r>
      <w:proofErr w:type="gramEnd"/>
      <w:r>
        <w:rPr>
          <w:rFonts w:ascii="仿宋" w:eastAsia="仿宋" w:hAnsi="仿宋" w:hint="eastAsia"/>
          <w:color w:val="484848"/>
          <w:sz w:val="32"/>
          <w:szCs w:val="32"/>
        </w:rPr>
        <w:t>处于灰区，建议作为混采阳性结果进行复核。</w:t>
      </w:r>
    </w:p>
    <w:p w14:paraId="6BB41A38"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（二）阳性结果复核。</w:t>
      </w:r>
    </w:p>
    <w:p w14:paraId="3A4170E6"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1.混采检测结果为阳性、</w:t>
      </w:r>
      <w:proofErr w:type="gramStart"/>
      <w:r>
        <w:rPr>
          <w:rFonts w:ascii="仿宋" w:eastAsia="仿宋" w:hAnsi="仿宋" w:hint="eastAsia"/>
          <w:color w:val="484848"/>
          <w:sz w:val="32"/>
          <w:szCs w:val="32"/>
        </w:rPr>
        <w:t>灰区或</w:t>
      </w:r>
      <w:proofErr w:type="gramEnd"/>
      <w:r>
        <w:rPr>
          <w:rFonts w:ascii="仿宋" w:eastAsia="仿宋" w:hAnsi="仿宋" w:hint="eastAsia"/>
          <w:color w:val="484848"/>
          <w:sz w:val="32"/>
          <w:szCs w:val="32"/>
        </w:rPr>
        <w:t>单个靶标阳性，通知相关部门对该混采管的10个受试者暂时单独隔离，并重新采集单管拭子进行复核。</w:t>
      </w:r>
    </w:p>
    <w:p w14:paraId="795B3056"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2.复核单管核酸检测如均为阴性，则按照阴性结果回报。暂时隔离人员即解除隔离；如检测结果阳性，按程序上报。</w:t>
      </w:r>
    </w:p>
    <w:p w14:paraId="7C53C9FB" w14:textId="77777777" w:rsidR="00BD184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八、检测后样本处理</w:t>
      </w:r>
    </w:p>
    <w:p w14:paraId="1F54A582"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检测后的标本应当尽快就地销毁，做好高压灭菌质量监控和消毒、销毁记录。</w:t>
      </w:r>
    </w:p>
    <w:p w14:paraId="3F4979C4" w14:textId="77777777" w:rsidR="00BD184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九、技术人员基本要求</w:t>
      </w:r>
    </w:p>
    <w:p w14:paraId="0DD2D19E"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采样人员和检测人员要求应满足《医疗机构新型冠状病毒核酸检测工作手册（试行）》要求。</w:t>
      </w:r>
    </w:p>
    <w:p w14:paraId="01F903F7" w14:textId="77777777" w:rsidR="00BD184E" w:rsidRDefault="00DF4662" w:rsidP="005A74AE">
      <w:pPr>
        <w:pStyle w:val="a7"/>
        <w:spacing w:before="0" w:beforeAutospacing="0" w:after="0" w:afterAutospacing="0"/>
        <w:ind w:firstLineChars="200" w:firstLine="640"/>
        <w:jc w:val="both"/>
        <w:rPr>
          <w:rFonts w:ascii="黑体" w:eastAsia="黑体" w:hAnsi="黑体"/>
          <w:color w:val="484848"/>
          <w:sz w:val="32"/>
          <w:szCs w:val="32"/>
        </w:rPr>
      </w:pPr>
      <w:r>
        <w:rPr>
          <w:rFonts w:ascii="黑体" w:eastAsia="黑体" w:hAnsi="黑体" w:hint="eastAsia"/>
          <w:color w:val="484848"/>
          <w:sz w:val="32"/>
          <w:szCs w:val="32"/>
        </w:rPr>
        <w:t>十、生物安全防护</w:t>
      </w:r>
    </w:p>
    <w:p w14:paraId="6DA5DF92"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t>（一）标本采集和运送人员。</w:t>
      </w:r>
    </w:p>
    <w:p w14:paraId="4AECD6E5" w14:textId="77777777" w:rsidR="00BD184E"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对于采集低风险区域人群的采集者，采用二级生物安全防护。包括：一次性帽子、医用防护口罩（N95）、手套（必要时双层）、护目镜/面屏、隔离衣，鞋套（必要时）。标本运送人员采用一级生物安全防护，包括：医用外科口罩、乳胶手套、工作服，可戴医用防护帽。</w:t>
      </w:r>
    </w:p>
    <w:p w14:paraId="56354841" w14:textId="77777777" w:rsidR="00BD184E" w:rsidRDefault="00DF4662" w:rsidP="005A74AE">
      <w:pPr>
        <w:pStyle w:val="a7"/>
        <w:spacing w:before="0" w:beforeAutospacing="0" w:after="0" w:afterAutospacing="0"/>
        <w:ind w:firstLineChars="200" w:firstLine="640"/>
        <w:jc w:val="both"/>
        <w:rPr>
          <w:rFonts w:ascii="楷体" w:eastAsia="楷体" w:hAnsi="楷体"/>
          <w:color w:val="484848"/>
          <w:sz w:val="32"/>
          <w:szCs w:val="32"/>
        </w:rPr>
      </w:pPr>
      <w:r>
        <w:rPr>
          <w:rFonts w:ascii="楷体" w:eastAsia="楷体" w:hAnsi="楷体" w:hint="eastAsia"/>
          <w:color w:val="484848"/>
          <w:sz w:val="32"/>
          <w:szCs w:val="32"/>
        </w:rPr>
        <w:lastRenderedPageBreak/>
        <w:t>（二）标本接收和检测人员。</w:t>
      </w:r>
    </w:p>
    <w:p w14:paraId="00FEF14E" w14:textId="2BD2EF5B" w:rsidR="00DF4662" w:rsidRPr="00DF4662" w:rsidRDefault="00DF4662" w:rsidP="005A74AE">
      <w:pPr>
        <w:pStyle w:val="a7"/>
        <w:spacing w:before="0" w:beforeAutospacing="0" w:after="0" w:afterAutospacing="0"/>
        <w:ind w:firstLineChars="200" w:firstLine="640"/>
        <w:jc w:val="both"/>
        <w:rPr>
          <w:rFonts w:ascii="仿宋" w:eastAsia="仿宋" w:hAnsi="仿宋"/>
          <w:color w:val="484848"/>
          <w:sz w:val="32"/>
          <w:szCs w:val="32"/>
        </w:rPr>
      </w:pPr>
      <w:r>
        <w:rPr>
          <w:rFonts w:ascii="仿宋" w:eastAsia="仿宋" w:hAnsi="仿宋" w:hint="eastAsia"/>
          <w:color w:val="484848"/>
          <w:sz w:val="32"/>
          <w:szCs w:val="32"/>
        </w:rPr>
        <w:t>标本接收人员应当为核酸检测实验室经生物安全防护培训的指定人员，采用二级以上生物安全防护。生物安全防护标准可根据所从事工作的危险性进行区分。进行试剂准备和核酸扩增的工作人员采用二级防护。处理标本的人员必须严格遵照三级防护标准，包括：医用防护口罩或N95、单或双层乳胶手套（条件许可，可以不同颜色）、面屏、护目镜、工作服外防护服、单或双层医用防护帽，手卫生。必要时双层口罩（外医用防护口罩，内N95）。</w:t>
      </w:r>
    </w:p>
    <w:p w14:paraId="62EE94EC" w14:textId="67F268EC" w:rsidR="00DF4662" w:rsidRDefault="00DF4662">
      <w:pPr>
        <w:widowControl/>
        <w:jc w:val="left"/>
        <w:rPr>
          <w:rFonts w:ascii="微软雅黑" w:eastAsia="微软雅黑" w:hAnsi="微软雅黑"/>
          <w:b/>
          <w:bCs/>
          <w:color w:val="FF0000"/>
          <w:shd w:val="pct15" w:color="auto" w:fill="FFFFFF"/>
        </w:rPr>
      </w:pPr>
      <w:r>
        <w:rPr>
          <w:rFonts w:ascii="微软雅黑" w:eastAsia="微软雅黑" w:hAnsi="微软雅黑"/>
          <w:b/>
          <w:bCs/>
          <w:color w:val="FF0000"/>
          <w:shd w:val="pct15" w:color="auto" w:fill="FFFFFF"/>
        </w:rPr>
        <w:br w:type="page"/>
      </w:r>
    </w:p>
    <w:p w14:paraId="55C197C0" w14:textId="10521D18" w:rsidR="00DF4662" w:rsidRDefault="00DF4662" w:rsidP="003B3336">
      <w:pPr>
        <w:rPr>
          <w:rFonts w:ascii="仿宋" w:eastAsia="仿宋" w:hAnsi="仿宋"/>
          <w:color w:val="484848"/>
          <w:sz w:val="32"/>
          <w:szCs w:val="32"/>
        </w:rPr>
      </w:pPr>
      <w:r>
        <w:rPr>
          <w:rFonts w:ascii="仿宋" w:eastAsia="仿宋" w:hAnsi="仿宋" w:hint="eastAsia"/>
          <w:color w:val="484848"/>
          <w:sz w:val="32"/>
          <w:szCs w:val="32"/>
        </w:rPr>
        <w:lastRenderedPageBreak/>
        <w:t>附件：新冠病毒核酸10合1混采检测登记表</w:t>
      </w:r>
    </w:p>
    <w:p w14:paraId="51C723B4" w14:textId="75170D5C" w:rsidR="00DF4662" w:rsidRPr="00DF4662" w:rsidRDefault="00DF4662" w:rsidP="00DF4662">
      <w:pPr>
        <w:widowControl/>
        <w:jc w:val="center"/>
        <w:rPr>
          <w:rFonts w:ascii="仿宋" w:eastAsia="仿宋" w:hAnsi="仿宋" w:cs="宋体"/>
          <w:color w:val="484848"/>
          <w:kern w:val="0"/>
          <w:sz w:val="32"/>
          <w:szCs w:val="32"/>
        </w:rPr>
      </w:pPr>
      <w:r w:rsidRPr="00DF4662">
        <w:rPr>
          <w:rFonts w:ascii="微软雅黑" w:eastAsia="微软雅黑" w:hAnsi="微软雅黑" w:cs="宋体" w:hint="eastAsia"/>
          <w:b/>
          <w:bCs/>
          <w:color w:val="484848"/>
          <w:kern w:val="0"/>
          <w:sz w:val="44"/>
          <w:szCs w:val="44"/>
        </w:rPr>
        <w:t>新冠病毒核酸10合1混采检测登记表</w:t>
      </w:r>
    </w:p>
    <w:p w14:paraId="5B5FE8C3" w14:textId="3BA413FA" w:rsidR="00DF4662" w:rsidRDefault="00DF4662" w:rsidP="00DF4662">
      <w:pPr>
        <w:widowControl/>
        <w:rPr>
          <w:rFonts w:ascii="仿宋" w:eastAsia="仿宋" w:hAnsi="仿宋" w:cs="宋体"/>
          <w:color w:val="484848"/>
          <w:kern w:val="0"/>
          <w:sz w:val="32"/>
          <w:szCs w:val="32"/>
        </w:rPr>
      </w:pPr>
      <w:r w:rsidRPr="00DF4662">
        <w:rPr>
          <w:rFonts w:ascii="仿宋" w:eastAsia="仿宋" w:hAnsi="仿宋" w:cs="宋体" w:hint="eastAsia"/>
          <w:color w:val="484848"/>
          <w:kern w:val="0"/>
          <w:sz w:val="32"/>
          <w:szCs w:val="32"/>
        </w:rPr>
        <w:t>采集地点：</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r w:rsidRPr="00DF4662">
        <w:rPr>
          <w:rFonts w:ascii="仿宋" w:eastAsia="仿宋" w:hAnsi="仿宋" w:cs="宋体" w:hint="eastAsia"/>
          <w:color w:val="484848"/>
          <w:kern w:val="0"/>
          <w:sz w:val="32"/>
          <w:szCs w:val="32"/>
        </w:rPr>
        <w:t>采集日期：</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p>
    <w:p w14:paraId="062A1CCE" w14:textId="2F7EF8C1" w:rsidR="00DF4662" w:rsidRDefault="00DF4662" w:rsidP="00DF4662">
      <w:pPr>
        <w:widowControl/>
        <w:rPr>
          <w:rFonts w:ascii="仿宋" w:eastAsia="仿宋" w:hAnsi="仿宋" w:cs="宋体"/>
          <w:color w:val="484848"/>
          <w:kern w:val="0"/>
          <w:sz w:val="32"/>
          <w:szCs w:val="32"/>
        </w:rPr>
      </w:pPr>
      <w:r w:rsidRPr="00DF4662">
        <w:rPr>
          <w:rFonts w:ascii="仿宋" w:eastAsia="仿宋" w:hAnsi="仿宋" w:cs="宋体" w:hint="eastAsia"/>
          <w:color w:val="484848"/>
          <w:kern w:val="0"/>
          <w:sz w:val="32"/>
          <w:szCs w:val="32"/>
        </w:rPr>
        <w:t>送样人：</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r w:rsidRPr="00DF4662">
        <w:rPr>
          <w:rFonts w:ascii="仿宋" w:eastAsia="仿宋" w:hAnsi="仿宋" w:cs="宋体" w:hint="eastAsia"/>
          <w:color w:val="484848"/>
          <w:kern w:val="0"/>
          <w:sz w:val="32"/>
          <w:szCs w:val="32"/>
        </w:rPr>
        <w:t>送样人联系电话：</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p>
    <w:p w14:paraId="6F2475A6" w14:textId="77777777" w:rsidR="00DF4662" w:rsidRDefault="00DF4662" w:rsidP="00DF4662">
      <w:pPr>
        <w:widowControl/>
        <w:rPr>
          <w:rFonts w:ascii="仿宋" w:eastAsia="仿宋" w:hAnsi="仿宋" w:cs="宋体"/>
          <w:color w:val="484848"/>
          <w:kern w:val="0"/>
          <w:sz w:val="32"/>
          <w:szCs w:val="32"/>
        </w:rPr>
      </w:pPr>
      <w:r w:rsidRPr="00DF4662">
        <w:rPr>
          <w:rFonts w:ascii="仿宋" w:eastAsia="仿宋" w:hAnsi="仿宋" w:cs="宋体" w:hint="eastAsia"/>
          <w:color w:val="484848"/>
          <w:kern w:val="0"/>
          <w:sz w:val="32"/>
          <w:szCs w:val="32"/>
        </w:rPr>
        <w:t>送检时间：</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r w:rsidRPr="00DF4662">
        <w:rPr>
          <w:rFonts w:ascii="仿宋" w:eastAsia="仿宋" w:hAnsi="仿宋" w:cs="宋体" w:hint="eastAsia"/>
          <w:color w:val="484848"/>
          <w:kern w:val="0"/>
          <w:sz w:val="32"/>
          <w:szCs w:val="32"/>
        </w:rPr>
        <w:t>接收人：</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p>
    <w:p w14:paraId="3B107416" w14:textId="3F27512E" w:rsidR="00DF4662" w:rsidRPr="00DF4662" w:rsidRDefault="00DF4662" w:rsidP="00DF4662">
      <w:pPr>
        <w:widowControl/>
        <w:rPr>
          <w:rFonts w:ascii="仿宋" w:eastAsia="仿宋" w:hAnsi="仿宋" w:cs="宋体"/>
          <w:color w:val="484848"/>
          <w:kern w:val="0"/>
          <w:sz w:val="32"/>
          <w:szCs w:val="32"/>
        </w:rPr>
      </w:pPr>
      <w:r w:rsidRPr="00DF4662">
        <w:rPr>
          <w:rFonts w:ascii="仿宋" w:eastAsia="仿宋" w:hAnsi="仿宋" w:cs="宋体" w:hint="eastAsia"/>
          <w:color w:val="484848"/>
          <w:kern w:val="0"/>
          <w:sz w:val="32"/>
          <w:szCs w:val="32"/>
        </w:rPr>
        <w:t>接收时间：</w:t>
      </w:r>
      <w:r>
        <w:rPr>
          <w:rFonts w:ascii="仿宋" w:eastAsia="仿宋" w:hAnsi="仿宋" w:cs="宋体" w:hint="eastAsia"/>
          <w:color w:val="484848"/>
          <w:kern w:val="0"/>
          <w:sz w:val="32"/>
          <w:szCs w:val="32"/>
        </w:rPr>
        <w:t xml:space="preserve"> </w:t>
      </w:r>
      <w:r>
        <w:rPr>
          <w:rFonts w:ascii="仿宋" w:eastAsia="仿宋" w:hAnsi="仿宋" w:cs="宋体"/>
          <w:color w:val="484848"/>
          <w:kern w:val="0"/>
          <w:sz w:val="32"/>
          <w:szCs w:val="32"/>
        </w:rPr>
        <w:t xml:space="preserve">               </w:t>
      </w:r>
    </w:p>
    <w:tbl>
      <w:tblPr>
        <w:tblW w:w="9432" w:type="dxa"/>
        <w:jc w:val="center"/>
        <w:tblCellMar>
          <w:left w:w="0" w:type="dxa"/>
          <w:right w:w="0" w:type="dxa"/>
        </w:tblCellMar>
        <w:tblLook w:val="04A0" w:firstRow="1" w:lastRow="0" w:firstColumn="1" w:lastColumn="0" w:noHBand="0" w:noVBand="1"/>
      </w:tblPr>
      <w:tblGrid>
        <w:gridCol w:w="548"/>
        <w:gridCol w:w="688"/>
        <w:gridCol w:w="811"/>
        <w:gridCol w:w="734"/>
        <w:gridCol w:w="753"/>
        <w:gridCol w:w="1385"/>
        <w:gridCol w:w="1069"/>
        <w:gridCol w:w="831"/>
        <w:gridCol w:w="831"/>
        <w:gridCol w:w="594"/>
        <w:gridCol w:w="594"/>
        <w:gridCol w:w="594"/>
      </w:tblGrid>
      <w:tr w:rsidR="00DF4662" w:rsidRPr="00DF4662" w14:paraId="7677EDE5" w14:textId="77777777" w:rsidTr="00222C02">
        <w:trPr>
          <w:trHeight w:val="640"/>
          <w:jc w:val="center"/>
        </w:trPr>
        <w:tc>
          <w:tcPr>
            <w:tcW w:w="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244BE"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采集管编号</w:t>
            </w:r>
          </w:p>
        </w:tc>
        <w:tc>
          <w:tcPr>
            <w:tcW w:w="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3CAD8"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序号</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9A58D"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姓名</w:t>
            </w:r>
          </w:p>
        </w:tc>
        <w:tc>
          <w:tcPr>
            <w:tcW w:w="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0D270"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性别</w:t>
            </w:r>
          </w:p>
        </w:tc>
        <w:tc>
          <w:tcPr>
            <w:tcW w:w="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5DFB7"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年龄</w:t>
            </w:r>
          </w:p>
        </w:tc>
        <w:tc>
          <w:tcPr>
            <w:tcW w:w="1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43ED5"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身份证号</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B3292"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联系电话</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FBF90"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采集时间</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4DDD0"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是否去过高风险地区</w:t>
            </w:r>
          </w:p>
        </w:tc>
        <w:tc>
          <w:tcPr>
            <w:tcW w:w="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E60FC"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是否发热</w:t>
            </w:r>
          </w:p>
        </w:tc>
        <w:tc>
          <w:tcPr>
            <w:tcW w:w="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B7704"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实验室编号</w:t>
            </w:r>
          </w:p>
        </w:tc>
        <w:tc>
          <w:tcPr>
            <w:tcW w:w="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1BBA2" w14:textId="77777777" w:rsidR="00DF4662" w:rsidRPr="00DF4662" w:rsidRDefault="00DF4662" w:rsidP="00222C02">
            <w:pPr>
              <w:widowControl/>
              <w:spacing w:line="240" w:lineRule="atLeast"/>
              <w:jc w:val="left"/>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检测结果</w:t>
            </w:r>
          </w:p>
        </w:tc>
      </w:tr>
      <w:tr w:rsidR="00DF4662" w:rsidRPr="00DF4662" w14:paraId="3B2D7340" w14:textId="77777777" w:rsidTr="00222C02">
        <w:trPr>
          <w:trHeight w:val="596"/>
          <w:jc w:val="center"/>
        </w:trPr>
        <w:tc>
          <w:tcPr>
            <w:tcW w:w="5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E654C" w14:textId="25DCEDBB"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0FF3B" w14:textId="77777777" w:rsidR="00DF4662" w:rsidRPr="00DF4662" w:rsidRDefault="00DF466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5E3C668E" w14:textId="2E47922D"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4E37338C" w14:textId="0ABF9F45"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36C15328" w14:textId="744DC226"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1A00272" w14:textId="661E32D3"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28A8BE1" w14:textId="2F90AEC8"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82526FA" w14:textId="5C8DF83C"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445548C5" w14:textId="4D78FDDF"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16D58277" w14:textId="35B03951"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5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FABAFE" w14:textId="4493A215"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c>
          <w:tcPr>
            <w:tcW w:w="5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E458C0" w14:textId="6EBDC84F" w:rsidR="00DF4662" w:rsidRPr="00DF4662" w:rsidRDefault="00DF4662" w:rsidP="00222C02">
            <w:pPr>
              <w:widowControl/>
              <w:spacing w:line="240" w:lineRule="atLeast"/>
              <w:jc w:val="left"/>
              <w:rPr>
                <w:rFonts w:ascii="微软雅黑" w:eastAsia="微软雅黑" w:hAnsi="微软雅黑" w:cs="宋体"/>
                <w:color w:val="484848"/>
                <w:kern w:val="0"/>
                <w:szCs w:val="21"/>
              </w:rPr>
            </w:pPr>
          </w:p>
        </w:tc>
      </w:tr>
      <w:tr w:rsidR="00222C02" w:rsidRPr="00DF4662" w14:paraId="0DAFB828"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59AB2C40"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D7077"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62603735" w14:textId="09777CD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2032CC04" w14:textId="47FD1BB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57C96E2C" w14:textId="541C62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65947B14" w14:textId="5FFA512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C429A17" w14:textId="21087B3F"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21E2671" w14:textId="5D6CE23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9B59ED6" w14:textId="352E8EDA"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179B2CDF" w14:textId="562B103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3715122C"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3E66ED70"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4F2B6264" w14:textId="77777777" w:rsidTr="00222C02">
        <w:trPr>
          <w:trHeight w:val="610"/>
          <w:jc w:val="center"/>
        </w:trPr>
        <w:tc>
          <w:tcPr>
            <w:tcW w:w="548" w:type="dxa"/>
            <w:vMerge/>
            <w:tcBorders>
              <w:top w:val="nil"/>
              <w:left w:val="single" w:sz="8" w:space="0" w:color="auto"/>
              <w:bottom w:val="single" w:sz="8" w:space="0" w:color="auto"/>
              <w:right w:val="single" w:sz="8" w:space="0" w:color="auto"/>
            </w:tcBorders>
            <w:vAlign w:val="center"/>
            <w:hideMark/>
          </w:tcPr>
          <w:p w14:paraId="2938A189"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9D7C9"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34F8441D" w14:textId="3AB6F5CF"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3359DD62" w14:textId="1800E5E3"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198ED212" w14:textId="757FE73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171DAB5F" w14:textId="46D61A3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8442324" w14:textId="1EB7DBB0"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19050ECC" w14:textId="0E73BB84"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2155F1B" w14:textId="08ED82DC"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38EE7516" w14:textId="1AC1E57A"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2F0EA496"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5FCCCEEE"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549CCEC3"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4E6A7FAD"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0F885"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4</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E3AFD01" w14:textId="210E7F5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2808DE6A" w14:textId="44380F70"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7749542F" w14:textId="35B5059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2F7A72" w14:textId="7CA3694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F794C7E" w14:textId="240A042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4B7858E3" w14:textId="2F4E640D"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62F6D182" w14:textId="6D610150"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31D04849" w14:textId="3D7C5BEA"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1E71ED1E"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13A24E26"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1AB9CC9A"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1EB4E935"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34BFB"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5</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56698BB" w14:textId="79680D6A"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4BFDE86B" w14:textId="27D79EEF"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66CA2A55" w14:textId="15F9016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74C6FA6F" w14:textId="0CB6B5D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0826252" w14:textId="5869C2A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502B023" w14:textId="6C5D758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32C3271" w14:textId="5873B036"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5197D91D" w14:textId="693BE98C"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497112FD"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11F26282"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555981BE"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64EAEC56"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98885"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87711AA" w14:textId="3419A860"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5AED54D6" w14:textId="575D340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5DDC8AC7" w14:textId="2DA0EEF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70C4E9DA" w14:textId="11FD5DF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D4C502C" w14:textId="4009ADF5"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3AC8B1E" w14:textId="4E636DD0"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D61BD4B" w14:textId="5778AE4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79A78CFB" w14:textId="4BC30BAC"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2BD875DE"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2A2E82B7"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672F2338"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65D33900"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B32D"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7</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476CC10E" w14:textId="14A3A79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32370BBB" w14:textId="6560369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04C9D004" w14:textId="371B6C04"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3DDD14" w14:textId="320BA68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95727DF" w14:textId="0400510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FA18D85" w14:textId="1B32288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3BF1CA7" w14:textId="6E4A985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05BB1DE5" w14:textId="3EC329C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76768AF7"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3CBE2F73"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0C5B78A2" w14:textId="77777777" w:rsidTr="00222C02">
        <w:trPr>
          <w:trHeight w:val="610"/>
          <w:jc w:val="center"/>
        </w:trPr>
        <w:tc>
          <w:tcPr>
            <w:tcW w:w="548" w:type="dxa"/>
            <w:vMerge/>
            <w:tcBorders>
              <w:top w:val="nil"/>
              <w:left w:val="single" w:sz="8" w:space="0" w:color="auto"/>
              <w:bottom w:val="single" w:sz="8" w:space="0" w:color="auto"/>
              <w:right w:val="single" w:sz="8" w:space="0" w:color="auto"/>
            </w:tcBorders>
            <w:vAlign w:val="center"/>
            <w:hideMark/>
          </w:tcPr>
          <w:p w14:paraId="16671062"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C4ECE"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697E817" w14:textId="6025BD8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2CAF7720" w14:textId="22E5043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6279C603" w14:textId="46E07F56"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74AE548D" w14:textId="2D81E4A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EEEA1E7" w14:textId="6B2DAF6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3C5FE5A" w14:textId="52AF39B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5DBB7798" w14:textId="2745208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7BE7E532" w14:textId="21FDC41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0A50AD59"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5416DE50"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5A89CA18"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2C2FA2F7"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B957A"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17F2488F" w14:textId="1F589986"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44D64441" w14:textId="25066420"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6B055531" w14:textId="013BED2E"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6A22200" w14:textId="7306B11C"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4FF34BD" w14:textId="62C5703D"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5D970F39" w14:textId="4B6FBD4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072FF260" w14:textId="18BD6D4B"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5571F93B" w14:textId="36168C92"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10733AA8"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2F9DF9ED"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r w:rsidR="00222C02" w:rsidRPr="00DF4662" w14:paraId="71CAF88B" w14:textId="77777777" w:rsidTr="00222C02">
        <w:trPr>
          <w:trHeight w:val="615"/>
          <w:jc w:val="center"/>
        </w:trPr>
        <w:tc>
          <w:tcPr>
            <w:tcW w:w="548" w:type="dxa"/>
            <w:vMerge/>
            <w:tcBorders>
              <w:top w:val="nil"/>
              <w:left w:val="single" w:sz="8" w:space="0" w:color="auto"/>
              <w:bottom w:val="single" w:sz="8" w:space="0" w:color="auto"/>
              <w:right w:val="single" w:sz="8" w:space="0" w:color="auto"/>
            </w:tcBorders>
            <w:vAlign w:val="center"/>
            <w:hideMark/>
          </w:tcPr>
          <w:p w14:paraId="731AE21E"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18C36" w14:textId="77777777" w:rsidR="00222C02" w:rsidRPr="00DF4662" w:rsidRDefault="00222C02" w:rsidP="00222C02">
            <w:pPr>
              <w:widowControl/>
              <w:spacing w:line="240" w:lineRule="atLeast"/>
              <w:jc w:val="center"/>
              <w:rPr>
                <w:rFonts w:ascii="微软雅黑" w:eastAsia="微软雅黑" w:hAnsi="微软雅黑" w:cs="宋体"/>
                <w:color w:val="484848"/>
                <w:kern w:val="0"/>
                <w:szCs w:val="21"/>
              </w:rPr>
            </w:pPr>
            <w:r w:rsidRPr="00DF4662">
              <w:rPr>
                <w:rFonts w:ascii="仿宋" w:eastAsia="仿宋" w:hAnsi="仿宋" w:cs="宋体" w:hint="eastAsia"/>
                <w:color w:val="484848"/>
                <w:kern w:val="0"/>
                <w:szCs w:val="21"/>
              </w:rPr>
              <w:t>10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5E4CE26F" w14:textId="1A1B8AF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34" w:type="dxa"/>
            <w:tcBorders>
              <w:top w:val="nil"/>
              <w:left w:val="nil"/>
              <w:bottom w:val="single" w:sz="8" w:space="0" w:color="auto"/>
              <w:right w:val="single" w:sz="8" w:space="0" w:color="auto"/>
            </w:tcBorders>
            <w:tcMar>
              <w:top w:w="0" w:type="dxa"/>
              <w:left w:w="108" w:type="dxa"/>
              <w:bottom w:w="0" w:type="dxa"/>
              <w:right w:w="108" w:type="dxa"/>
            </w:tcMar>
            <w:hideMark/>
          </w:tcPr>
          <w:p w14:paraId="4697AEF7" w14:textId="2DAEFBF9"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753" w:type="dxa"/>
            <w:tcBorders>
              <w:top w:val="nil"/>
              <w:left w:val="nil"/>
              <w:bottom w:val="single" w:sz="8" w:space="0" w:color="auto"/>
              <w:right w:val="single" w:sz="8" w:space="0" w:color="auto"/>
            </w:tcBorders>
            <w:tcMar>
              <w:top w:w="0" w:type="dxa"/>
              <w:left w:w="108" w:type="dxa"/>
              <w:bottom w:w="0" w:type="dxa"/>
              <w:right w:w="108" w:type="dxa"/>
            </w:tcMar>
            <w:hideMark/>
          </w:tcPr>
          <w:p w14:paraId="4420101F" w14:textId="2D055BEC"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1D175FAA" w14:textId="41A425C1"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4BDAD8A" w14:textId="51493FB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1BB74421" w14:textId="021E512F"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60BD53EB" w14:textId="601D3BA8"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tcBorders>
              <w:top w:val="nil"/>
              <w:left w:val="nil"/>
              <w:bottom w:val="single" w:sz="8" w:space="0" w:color="auto"/>
              <w:right w:val="single" w:sz="8" w:space="0" w:color="auto"/>
            </w:tcBorders>
            <w:tcMar>
              <w:top w:w="0" w:type="dxa"/>
              <w:left w:w="108" w:type="dxa"/>
              <w:bottom w:w="0" w:type="dxa"/>
              <w:right w:w="108" w:type="dxa"/>
            </w:tcMar>
            <w:hideMark/>
          </w:tcPr>
          <w:p w14:paraId="5A494579" w14:textId="5C86961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47FB0A66"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c>
          <w:tcPr>
            <w:tcW w:w="594" w:type="dxa"/>
            <w:vMerge/>
            <w:tcBorders>
              <w:top w:val="nil"/>
              <w:left w:val="nil"/>
              <w:bottom w:val="single" w:sz="8" w:space="0" w:color="auto"/>
              <w:right w:val="single" w:sz="8" w:space="0" w:color="auto"/>
            </w:tcBorders>
            <w:vAlign w:val="center"/>
            <w:hideMark/>
          </w:tcPr>
          <w:p w14:paraId="04CAC3EC" w14:textId="77777777" w:rsidR="00222C02" w:rsidRPr="00DF4662" w:rsidRDefault="00222C02" w:rsidP="00222C02">
            <w:pPr>
              <w:widowControl/>
              <w:spacing w:line="240" w:lineRule="atLeast"/>
              <w:jc w:val="left"/>
              <w:rPr>
                <w:rFonts w:ascii="微软雅黑" w:eastAsia="微软雅黑" w:hAnsi="微软雅黑" w:cs="宋体"/>
                <w:color w:val="484848"/>
                <w:kern w:val="0"/>
                <w:szCs w:val="21"/>
              </w:rPr>
            </w:pPr>
          </w:p>
        </w:tc>
      </w:tr>
    </w:tbl>
    <w:p w14:paraId="12ADD519" w14:textId="42BBA943" w:rsidR="00DF4662" w:rsidRPr="00DF4662" w:rsidRDefault="00DF4662" w:rsidP="00DF4662">
      <w:pPr>
        <w:widowControl/>
        <w:rPr>
          <w:rFonts w:ascii="仿宋" w:eastAsia="仿宋" w:hAnsi="仿宋" w:cs="宋体"/>
          <w:color w:val="484848"/>
          <w:kern w:val="0"/>
          <w:sz w:val="32"/>
          <w:szCs w:val="32"/>
        </w:rPr>
      </w:pPr>
    </w:p>
    <w:p w14:paraId="31D4E970" w14:textId="5DDDF7F6" w:rsidR="00DF4662" w:rsidRPr="00DF4662" w:rsidRDefault="00DF4662" w:rsidP="00DF4662">
      <w:pPr>
        <w:widowControl/>
        <w:rPr>
          <w:rFonts w:ascii="仿宋" w:eastAsia="仿宋" w:hAnsi="仿宋" w:cs="宋体"/>
          <w:color w:val="484848"/>
          <w:kern w:val="0"/>
          <w:sz w:val="32"/>
          <w:szCs w:val="32"/>
        </w:rPr>
      </w:pPr>
      <w:r w:rsidRPr="00DF4662">
        <w:rPr>
          <w:rFonts w:ascii="微软雅黑" w:eastAsia="微软雅黑" w:hAnsi="微软雅黑" w:cs="宋体" w:hint="eastAsia"/>
          <w:color w:val="484848"/>
          <w:kern w:val="0"/>
          <w:sz w:val="28"/>
          <w:szCs w:val="28"/>
        </w:rPr>
        <w:t>注：送检时间，接收时间格式为XX月XX日XX时，采集时间格式为XX时；检测结果如为ORF1ab或N基因单独阳性，需详细列出。</w:t>
      </w:r>
    </w:p>
    <w:p w14:paraId="3932D75E" w14:textId="77777777" w:rsidR="00DF4662" w:rsidRPr="00DF4662" w:rsidRDefault="00DF4662" w:rsidP="003B3336">
      <w:pPr>
        <w:rPr>
          <w:rFonts w:ascii="微软雅黑" w:eastAsia="微软雅黑" w:hAnsi="微软雅黑"/>
          <w:b/>
          <w:bCs/>
          <w:color w:val="FF0000"/>
          <w:shd w:val="pct15" w:color="auto" w:fill="FFFFFF"/>
        </w:rPr>
      </w:pPr>
    </w:p>
    <w:sectPr w:rsidR="00DF4662" w:rsidRPr="00DF4662" w:rsidSect="00DF466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B40A" w14:textId="77777777" w:rsidR="002B3B98" w:rsidRDefault="002B3B98" w:rsidP="00914CF9">
      <w:r>
        <w:separator/>
      </w:r>
    </w:p>
  </w:endnote>
  <w:endnote w:type="continuationSeparator" w:id="0">
    <w:p w14:paraId="18CBB585" w14:textId="77777777" w:rsidR="002B3B98" w:rsidRDefault="002B3B98" w:rsidP="0091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89C6" w14:textId="77777777" w:rsidR="002B3B98" w:rsidRDefault="002B3B98" w:rsidP="00914CF9">
      <w:r>
        <w:separator/>
      </w:r>
    </w:p>
  </w:footnote>
  <w:footnote w:type="continuationSeparator" w:id="0">
    <w:p w14:paraId="254845D8" w14:textId="77777777" w:rsidR="002B3B98" w:rsidRDefault="002B3B98" w:rsidP="0091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6"/>
    <w:rsid w:val="001671DC"/>
    <w:rsid w:val="001A6540"/>
    <w:rsid w:val="00222C02"/>
    <w:rsid w:val="002342BA"/>
    <w:rsid w:val="00264183"/>
    <w:rsid w:val="002B3B98"/>
    <w:rsid w:val="002E24E5"/>
    <w:rsid w:val="00357AAF"/>
    <w:rsid w:val="00381BDA"/>
    <w:rsid w:val="003B3336"/>
    <w:rsid w:val="00572056"/>
    <w:rsid w:val="005A74AE"/>
    <w:rsid w:val="00914CF9"/>
    <w:rsid w:val="00A052EE"/>
    <w:rsid w:val="00AE5127"/>
    <w:rsid w:val="00AE6EC9"/>
    <w:rsid w:val="00AF7E8A"/>
    <w:rsid w:val="00BD184E"/>
    <w:rsid w:val="00D631E2"/>
    <w:rsid w:val="00DF4662"/>
    <w:rsid w:val="00E77FD5"/>
    <w:rsid w:val="00F32F02"/>
    <w:rsid w:val="00F8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6934"/>
  <w15:chartTrackingRefBased/>
  <w15:docId w15:val="{3B11D24C-00D7-4349-8A28-825FAD6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C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4CF9"/>
    <w:rPr>
      <w:sz w:val="18"/>
      <w:szCs w:val="18"/>
    </w:rPr>
  </w:style>
  <w:style w:type="paragraph" w:styleId="a5">
    <w:name w:val="footer"/>
    <w:basedOn w:val="a"/>
    <w:link w:val="a6"/>
    <w:uiPriority w:val="99"/>
    <w:unhideWhenUsed/>
    <w:rsid w:val="00914CF9"/>
    <w:pPr>
      <w:tabs>
        <w:tab w:val="center" w:pos="4153"/>
        <w:tab w:val="right" w:pos="8306"/>
      </w:tabs>
      <w:snapToGrid w:val="0"/>
      <w:jc w:val="left"/>
    </w:pPr>
    <w:rPr>
      <w:sz w:val="18"/>
      <w:szCs w:val="18"/>
    </w:rPr>
  </w:style>
  <w:style w:type="character" w:customStyle="1" w:styleId="a6">
    <w:name w:val="页脚 字符"/>
    <w:basedOn w:val="a0"/>
    <w:link w:val="a5"/>
    <w:uiPriority w:val="99"/>
    <w:rsid w:val="00914CF9"/>
    <w:rPr>
      <w:sz w:val="18"/>
      <w:szCs w:val="18"/>
    </w:rPr>
  </w:style>
  <w:style w:type="paragraph" w:styleId="a7">
    <w:name w:val="Normal (Web)"/>
    <w:basedOn w:val="a"/>
    <w:uiPriority w:val="99"/>
    <w:unhideWhenUsed/>
    <w:rsid w:val="00DF466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F4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42027">
      <w:bodyDiv w:val="1"/>
      <w:marLeft w:val="0"/>
      <w:marRight w:val="0"/>
      <w:marTop w:val="0"/>
      <w:marBottom w:val="0"/>
      <w:divBdr>
        <w:top w:val="none" w:sz="0" w:space="0" w:color="auto"/>
        <w:left w:val="none" w:sz="0" w:space="0" w:color="auto"/>
        <w:bottom w:val="none" w:sz="0" w:space="0" w:color="auto"/>
        <w:right w:val="none" w:sz="0" w:space="0" w:color="auto"/>
      </w:divBdr>
    </w:div>
    <w:div w:id="1042753367">
      <w:bodyDiv w:val="1"/>
      <w:marLeft w:val="0"/>
      <w:marRight w:val="0"/>
      <w:marTop w:val="0"/>
      <w:marBottom w:val="0"/>
      <w:divBdr>
        <w:top w:val="none" w:sz="0" w:space="0" w:color="auto"/>
        <w:left w:val="none" w:sz="0" w:space="0" w:color="auto"/>
        <w:bottom w:val="none" w:sz="0" w:space="0" w:color="auto"/>
        <w:right w:val="none" w:sz="0" w:space="0" w:color="auto"/>
      </w:divBdr>
    </w:div>
    <w:div w:id="150517279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84">
          <w:marLeft w:val="0"/>
          <w:marRight w:val="0"/>
          <w:marTop w:val="0"/>
          <w:marBottom w:val="330"/>
          <w:divBdr>
            <w:top w:val="none" w:sz="0" w:space="0" w:color="auto"/>
            <w:left w:val="none" w:sz="0" w:space="0" w:color="auto"/>
            <w:bottom w:val="none" w:sz="0" w:space="0" w:color="auto"/>
            <w:right w:val="none" w:sz="0" w:space="0" w:color="auto"/>
          </w:divBdr>
        </w:div>
      </w:divsChild>
    </w:div>
    <w:div w:id="16781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zuojun</dc:creator>
  <cp:keywords/>
  <dc:description/>
  <cp:lastModifiedBy>shen zuojun</cp:lastModifiedBy>
  <cp:revision>9</cp:revision>
  <dcterms:created xsi:type="dcterms:W3CDTF">2020-11-10T15:31:00Z</dcterms:created>
  <dcterms:modified xsi:type="dcterms:W3CDTF">2020-11-10T17:04:00Z</dcterms:modified>
</cp:coreProperties>
</file>