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A2EE4" w14:textId="51C572DF" w:rsidR="00914CF9" w:rsidRDefault="000F171F" w:rsidP="000F171F">
      <w:pPr>
        <w:jc w:val="center"/>
        <w:rPr>
          <w:rFonts w:ascii="微软雅黑" w:eastAsia="微软雅黑" w:hAnsi="微软雅黑"/>
          <w:b/>
          <w:bCs/>
          <w:color w:val="FF0000"/>
          <w:shd w:val="pct15" w:color="auto" w:fill="FFFFFF"/>
        </w:rPr>
      </w:pPr>
      <w:r>
        <w:rPr>
          <w:rFonts w:ascii="微软雅黑" w:eastAsia="微软雅黑" w:hAnsi="微软雅黑" w:hint="eastAsia"/>
          <w:color w:val="1966A7"/>
          <w:sz w:val="36"/>
          <w:szCs w:val="36"/>
        </w:rPr>
        <w:t>关于印发新冠病毒核酸筛查</w:t>
      </w:r>
      <w:proofErr w:type="gramStart"/>
      <w:r>
        <w:rPr>
          <w:rFonts w:ascii="微软雅黑" w:eastAsia="微软雅黑" w:hAnsi="微软雅黑" w:hint="eastAsia"/>
          <w:color w:val="1966A7"/>
          <w:sz w:val="36"/>
          <w:szCs w:val="36"/>
        </w:rPr>
        <w:t>稀释混样检测</w:t>
      </w:r>
      <w:proofErr w:type="gramEnd"/>
      <w:r>
        <w:rPr>
          <w:rFonts w:ascii="微软雅黑" w:eastAsia="微软雅黑" w:hAnsi="微软雅黑" w:hint="eastAsia"/>
          <w:color w:val="1966A7"/>
          <w:sz w:val="36"/>
          <w:szCs w:val="36"/>
        </w:rPr>
        <w:t>技术指引的通知</w:t>
      </w:r>
    </w:p>
    <w:p w14:paraId="6EB9BCF2" w14:textId="669277D6" w:rsidR="000F171F" w:rsidRDefault="000F171F" w:rsidP="003B3336">
      <w:pPr>
        <w:rPr>
          <w:rFonts w:ascii="微软雅黑" w:eastAsia="微软雅黑" w:hAnsi="微软雅黑"/>
          <w:b/>
          <w:bCs/>
          <w:color w:val="FF0000"/>
          <w:shd w:val="pct15" w:color="auto" w:fill="FFFFFF"/>
        </w:rPr>
      </w:pPr>
    </w:p>
    <w:p w14:paraId="17FA4553" w14:textId="77777777" w:rsidR="005B5E52" w:rsidRDefault="005B5E52" w:rsidP="005B5E52">
      <w:pPr>
        <w:pStyle w:val="a7"/>
        <w:spacing w:before="0" w:beforeAutospacing="0" w:after="0" w:afterAutospacing="0"/>
        <w:jc w:val="center"/>
        <w:rPr>
          <w:rFonts w:ascii="仿宋" w:eastAsia="仿宋" w:hAnsi="仿宋"/>
          <w:color w:val="484848"/>
          <w:sz w:val="32"/>
          <w:szCs w:val="32"/>
        </w:rPr>
      </w:pPr>
      <w:r>
        <w:rPr>
          <w:rFonts w:ascii="仿宋" w:eastAsia="仿宋" w:hAnsi="仿宋" w:hint="eastAsia"/>
          <w:color w:val="484848"/>
          <w:sz w:val="32"/>
          <w:szCs w:val="32"/>
        </w:rPr>
        <w:t>联防联控机制医疗发〔2020〕277号</w:t>
      </w:r>
    </w:p>
    <w:p w14:paraId="774231A1" w14:textId="70BD1231" w:rsidR="005B5E52" w:rsidRDefault="005B5E52" w:rsidP="00AF1E07">
      <w:pPr>
        <w:pStyle w:val="a7"/>
        <w:spacing w:before="0" w:beforeAutospacing="0" w:after="0" w:afterAutospacing="0"/>
        <w:jc w:val="both"/>
        <w:rPr>
          <w:rFonts w:ascii="仿宋" w:eastAsia="仿宋" w:hAnsi="仿宋" w:hint="eastAsia"/>
          <w:color w:val="484848"/>
          <w:sz w:val="32"/>
          <w:szCs w:val="32"/>
        </w:rPr>
      </w:pPr>
    </w:p>
    <w:p w14:paraId="4176DB55" w14:textId="2E2C3369" w:rsidR="005B5E52" w:rsidRDefault="005B5E52" w:rsidP="00AF1E07">
      <w:pPr>
        <w:pStyle w:val="a7"/>
        <w:spacing w:before="0" w:beforeAutospacing="0" w:after="0" w:afterAutospacing="0"/>
        <w:jc w:val="both"/>
        <w:rPr>
          <w:rFonts w:ascii="仿宋" w:eastAsia="仿宋" w:hAnsi="仿宋" w:hint="eastAsia"/>
          <w:color w:val="484848"/>
          <w:sz w:val="32"/>
          <w:szCs w:val="32"/>
        </w:rPr>
      </w:pPr>
    </w:p>
    <w:p w14:paraId="07C930D0" w14:textId="77777777" w:rsidR="005B5E52" w:rsidRDefault="005B5E52" w:rsidP="005B5E52">
      <w:pPr>
        <w:pStyle w:val="a7"/>
        <w:spacing w:before="0" w:beforeAutospacing="0" w:after="0" w:afterAutospacing="0"/>
        <w:jc w:val="both"/>
        <w:rPr>
          <w:rFonts w:ascii="仿宋" w:eastAsia="仿宋" w:hAnsi="仿宋" w:hint="eastAsia"/>
          <w:color w:val="484848"/>
          <w:sz w:val="32"/>
          <w:szCs w:val="32"/>
        </w:rPr>
      </w:pPr>
      <w:r>
        <w:rPr>
          <w:rFonts w:ascii="仿宋" w:eastAsia="仿宋" w:hAnsi="仿宋" w:hint="eastAsia"/>
          <w:color w:val="484848"/>
          <w:sz w:val="32"/>
          <w:szCs w:val="32"/>
        </w:rPr>
        <w:t>各省、自治区、直辖市及新疆生产建设兵团应对新冠肺炎疫情联防联控机制（领导小组、指挥部）：</w:t>
      </w:r>
    </w:p>
    <w:p w14:paraId="4C624260" w14:textId="77777777" w:rsidR="005B5E52" w:rsidRDefault="005B5E52" w:rsidP="005B5E52">
      <w:pPr>
        <w:pStyle w:val="a7"/>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为指导各医疗机构做好新冠病毒核酸检测工作，我们总结了湖北省、武汉市核酸检测实践经验，组织制定了《新冠病毒核酸筛查稀释混样检测技术指引》（可在我</w:t>
      </w:r>
      <w:proofErr w:type="gramStart"/>
      <w:r>
        <w:rPr>
          <w:rFonts w:ascii="仿宋" w:eastAsia="仿宋" w:hAnsi="仿宋" w:hint="eastAsia"/>
          <w:color w:val="484848"/>
          <w:sz w:val="32"/>
          <w:szCs w:val="32"/>
        </w:rPr>
        <w:t>委官网“医政医</w:t>
      </w:r>
      <w:proofErr w:type="gramEnd"/>
      <w:r>
        <w:rPr>
          <w:rFonts w:ascii="仿宋" w:eastAsia="仿宋" w:hAnsi="仿宋" w:hint="eastAsia"/>
          <w:color w:val="484848"/>
          <w:sz w:val="32"/>
          <w:szCs w:val="32"/>
        </w:rPr>
        <w:t>管”栏目下载）。现印发给你们，供在新冠病毒核酸大样本应急筛查中参考使用。</w:t>
      </w:r>
    </w:p>
    <w:p w14:paraId="70993A28" w14:textId="1DE9D20E" w:rsidR="005B5E52" w:rsidRDefault="005B5E52" w:rsidP="005B5E52">
      <w:pPr>
        <w:pStyle w:val="a7"/>
        <w:spacing w:before="0" w:beforeAutospacing="0" w:after="0" w:afterAutospacing="0"/>
        <w:ind w:firstLine="480"/>
        <w:jc w:val="right"/>
        <w:rPr>
          <w:rFonts w:ascii="仿宋" w:eastAsia="仿宋" w:hAnsi="仿宋" w:hint="eastAsia"/>
          <w:color w:val="484848"/>
          <w:sz w:val="32"/>
          <w:szCs w:val="32"/>
        </w:rPr>
      </w:pPr>
    </w:p>
    <w:p w14:paraId="41591634" w14:textId="042516D6" w:rsidR="005B5E52" w:rsidRDefault="005B5E52" w:rsidP="005B5E52">
      <w:pPr>
        <w:pStyle w:val="a7"/>
        <w:spacing w:before="0" w:beforeAutospacing="0" w:after="0" w:afterAutospacing="0"/>
        <w:ind w:firstLine="480"/>
        <w:jc w:val="right"/>
        <w:rPr>
          <w:rFonts w:ascii="仿宋" w:eastAsia="仿宋" w:hAnsi="仿宋" w:hint="eastAsia"/>
          <w:color w:val="484848"/>
          <w:sz w:val="32"/>
          <w:szCs w:val="32"/>
        </w:rPr>
      </w:pPr>
    </w:p>
    <w:p w14:paraId="11B5A488" w14:textId="77777777" w:rsidR="005B5E52" w:rsidRDefault="005B5E52" w:rsidP="005B5E52">
      <w:pPr>
        <w:pStyle w:val="a7"/>
        <w:spacing w:before="0" w:beforeAutospacing="0" w:after="0" w:afterAutospacing="0"/>
        <w:ind w:firstLine="480"/>
        <w:jc w:val="right"/>
        <w:rPr>
          <w:rFonts w:ascii="仿宋" w:eastAsia="仿宋" w:hAnsi="仿宋" w:hint="eastAsia"/>
          <w:color w:val="484848"/>
          <w:sz w:val="32"/>
          <w:szCs w:val="32"/>
        </w:rPr>
      </w:pPr>
      <w:r>
        <w:rPr>
          <w:rFonts w:ascii="仿宋" w:eastAsia="仿宋" w:hAnsi="仿宋" w:hint="eastAsia"/>
          <w:color w:val="484848"/>
          <w:sz w:val="32"/>
          <w:szCs w:val="32"/>
        </w:rPr>
        <w:t>国务院应对新型冠状病毒肺炎</w:t>
      </w:r>
    </w:p>
    <w:p w14:paraId="0075AE81" w14:textId="77777777" w:rsidR="005B5E52" w:rsidRDefault="005B5E52" w:rsidP="005B5E52">
      <w:pPr>
        <w:pStyle w:val="a7"/>
        <w:spacing w:before="0" w:beforeAutospacing="0" w:after="0" w:afterAutospacing="0"/>
        <w:ind w:firstLine="480"/>
        <w:jc w:val="right"/>
        <w:rPr>
          <w:rFonts w:ascii="仿宋" w:eastAsia="仿宋" w:hAnsi="仿宋" w:hint="eastAsia"/>
          <w:color w:val="484848"/>
          <w:sz w:val="32"/>
          <w:szCs w:val="32"/>
        </w:rPr>
      </w:pPr>
      <w:r>
        <w:rPr>
          <w:rFonts w:ascii="仿宋" w:eastAsia="仿宋" w:hAnsi="仿宋" w:hint="eastAsia"/>
          <w:color w:val="484848"/>
          <w:sz w:val="32"/>
          <w:szCs w:val="32"/>
        </w:rPr>
        <w:t>疫情联防联控机制医疗救治组</w:t>
      </w:r>
    </w:p>
    <w:p w14:paraId="3DB44E13" w14:textId="77777777" w:rsidR="005B5E52" w:rsidRDefault="005B5E52" w:rsidP="005B5E52">
      <w:pPr>
        <w:pStyle w:val="a7"/>
        <w:spacing w:before="0" w:beforeAutospacing="0" w:after="0" w:afterAutospacing="0"/>
        <w:ind w:firstLine="480"/>
        <w:jc w:val="right"/>
        <w:rPr>
          <w:rFonts w:ascii="仿宋" w:eastAsia="仿宋" w:hAnsi="仿宋" w:hint="eastAsia"/>
          <w:color w:val="484848"/>
          <w:sz w:val="32"/>
          <w:szCs w:val="32"/>
        </w:rPr>
      </w:pPr>
      <w:r>
        <w:rPr>
          <w:rFonts w:ascii="仿宋" w:eastAsia="仿宋" w:hAnsi="仿宋" w:hint="eastAsia"/>
          <w:color w:val="484848"/>
          <w:sz w:val="32"/>
          <w:szCs w:val="32"/>
        </w:rPr>
        <w:t>（代章）</w:t>
      </w:r>
    </w:p>
    <w:p w14:paraId="4924061F" w14:textId="77777777" w:rsidR="005B5E52" w:rsidRDefault="005B5E52" w:rsidP="005B5E52">
      <w:pPr>
        <w:pStyle w:val="a7"/>
        <w:spacing w:before="0" w:beforeAutospacing="0" w:after="0" w:afterAutospacing="0"/>
        <w:ind w:firstLine="480"/>
        <w:jc w:val="right"/>
        <w:rPr>
          <w:rFonts w:ascii="仿宋" w:eastAsia="仿宋" w:hAnsi="仿宋" w:hint="eastAsia"/>
          <w:color w:val="484848"/>
          <w:sz w:val="32"/>
          <w:szCs w:val="32"/>
        </w:rPr>
      </w:pPr>
      <w:r>
        <w:rPr>
          <w:rFonts w:ascii="仿宋" w:eastAsia="仿宋" w:hAnsi="仿宋" w:hint="eastAsia"/>
          <w:color w:val="484848"/>
          <w:sz w:val="32"/>
          <w:szCs w:val="32"/>
        </w:rPr>
        <w:t>2020年7月21日</w:t>
      </w:r>
    </w:p>
    <w:p w14:paraId="060BA2B1" w14:textId="77777777" w:rsidR="005B5E52" w:rsidRDefault="005B5E52" w:rsidP="005B5E52">
      <w:pPr>
        <w:pStyle w:val="a7"/>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（信息公开形式：主动公开）</w:t>
      </w:r>
    </w:p>
    <w:p w14:paraId="7BF6297B" w14:textId="28A4FF64" w:rsidR="005B5E52" w:rsidRDefault="005B5E52" w:rsidP="00AF1E07">
      <w:pPr>
        <w:pStyle w:val="a7"/>
        <w:spacing w:before="0" w:beforeAutospacing="0" w:after="0" w:afterAutospacing="0"/>
        <w:jc w:val="both"/>
        <w:rPr>
          <w:rFonts w:ascii="仿宋" w:eastAsia="仿宋" w:hAnsi="仿宋"/>
          <w:color w:val="484848"/>
          <w:sz w:val="32"/>
          <w:szCs w:val="32"/>
        </w:rPr>
      </w:pPr>
    </w:p>
    <w:p w14:paraId="5CE65C51" w14:textId="0C708A16" w:rsidR="00AF1E07" w:rsidRDefault="00AF1E07" w:rsidP="00AF1E07">
      <w:pPr>
        <w:pStyle w:val="a7"/>
        <w:spacing w:before="0" w:beforeAutospacing="0" w:after="0" w:afterAutospacing="0"/>
        <w:jc w:val="both"/>
        <w:rPr>
          <w:rFonts w:ascii="仿宋" w:eastAsia="仿宋" w:hAnsi="仿宋"/>
          <w:color w:val="484848"/>
          <w:sz w:val="32"/>
          <w:szCs w:val="32"/>
        </w:rPr>
      </w:pPr>
    </w:p>
    <w:p w14:paraId="546E2EBB" w14:textId="22039361" w:rsidR="00AF1E07" w:rsidRDefault="00AF1E07" w:rsidP="00AF1E07">
      <w:pPr>
        <w:pStyle w:val="a7"/>
        <w:spacing w:before="0" w:beforeAutospacing="0" w:after="0" w:afterAutospacing="0"/>
        <w:jc w:val="both"/>
        <w:rPr>
          <w:rFonts w:ascii="仿宋" w:eastAsia="仿宋" w:hAnsi="仿宋"/>
          <w:color w:val="484848"/>
          <w:sz w:val="32"/>
          <w:szCs w:val="32"/>
        </w:rPr>
      </w:pPr>
    </w:p>
    <w:p w14:paraId="7E39A2BD" w14:textId="77777777" w:rsidR="00AF1E07" w:rsidRDefault="00AF1E07" w:rsidP="00AF1E07">
      <w:pPr>
        <w:pStyle w:val="a7"/>
        <w:spacing w:before="0" w:beforeAutospacing="0" w:after="0" w:afterAutospacing="0"/>
        <w:jc w:val="both"/>
        <w:rPr>
          <w:rFonts w:ascii="仿宋" w:eastAsia="仿宋" w:hAnsi="仿宋" w:hint="eastAsia"/>
          <w:color w:val="484848"/>
          <w:sz w:val="32"/>
          <w:szCs w:val="32"/>
        </w:rPr>
      </w:pPr>
    </w:p>
    <w:p w14:paraId="7B72D9F2" w14:textId="03551BFE" w:rsidR="005B5E52" w:rsidRDefault="005B5E52" w:rsidP="00CA62E4">
      <w:pPr>
        <w:pStyle w:val="a7"/>
        <w:spacing w:before="0" w:beforeAutospacing="0" w:after="0" w:afterAutospacing="0"/>
        <w:ind w:firstLine="480"/>
        <w:jc w:val="center"/>
        <w:rPr>
          <w:rFonts w:ascii="仿宋" w:eastAsia="仿宋" w:hAnsi="仿宋" w:hint="eastAsia"/>
          <w:color w:val="484848"/>
          <w:sz w:val="32"/>
          <w:szCs w:val="32"/>
        </w:rPr>
      </w:pPr>
      <w:r>
        <w:rPr>
          <w:rFonts w:ascii="微软雅黑" w:eastAsia="微软雅黑" w:hAnsi="微软雅黑" w:hint="eastAsia"/>
          <w:b/>
          <w:bCs/>
          <w:color w:val="484848"/>
          <w:sz w:val="44"/>
          <w:szCs w:val="44"/>
        </w:rPr>
        <w:lastRenderedPageBreak/>
        <w:t>新冠病毒核酸筛查</w:t>
      </w:r>
      <w:proofErr w:type="gramStart"/>
      <w:r>
        <w:rPr>
          <w:rFonts w:ascii="微软雅黑" w:eastAsia="微软雅黑" w:hAnsi="微软雅黑" w:hint="eastAsia"/>
          <w:b/>
          <w:bCs/>
          <w:color w:val="484848"/>
          <w:sz w:val="44"/>
          <w:szCs w:val="44"/>
        </w:rPr>
        <w:t>稀释混样检测</w:t>
      </w:r>
      <w:proofErr w:type="gramEnd"/>
      <w:r>
        <w:rPr>
          <w:rFonts w:ascii="微软雅黑" w:eastAsia="微软雅黑" w:hAnsi="微软雅黑" w:hint="eastAsia"/>
          <w:b/>
          <w:bCs/>
          <w:color w:val="484848"/>
          <w:sz w:val="44"/>
          <w:szCs w:val="44"/>
        </w:rPr>
        <w:t>技术指引</w:t>
      </w:r>
    </w:p>
    <w:p w14:paraId="00202436" w14:textId="77777777" w:rsidR="005B5E52" w:rsidRDefault="005B5E52" w:rsidP="00CA62E4">
      <w:pPr>
        <w:pStyle w:val="a7"/>
        <w:spacing w:beforeLines="100" w:before="312" w:beforeAutospacing="0" w:after="0" w:afterAutospacing="0"/>
        <w:ind w:firstLine="482"/>
        <w:jc w:val="both"/>
        <w:rPr>
          <w:rFonts w:ascii="仿宋" w:eastAsia="仿宋" w:hAnsi="仿宋" w:hint="eastAsia"/>
          <w:color w:val="484848"/>
          <w:sz w:val="32"/>
          <w:szCs w:val="32"/>
        </w:rPr>
      </w:pPr>
      <w:r>
        <w:rPr>
          <w:rFonts w:ascii="黑体" w:eastAsia="黑体" w:hAnsi="黑体" w:hint="eastAsia"/>
          <w:color w:val="484848"/>
          <w:sz w:val="32"/>
          <w:szCs w:val="32"/>
        </w:rPr>
        <w:t>一、适用对象</w:t>
      </w:r>
    </w:p>
    <w:p w14:paraId="6C19D281" w14:textId="77777777" w:rsidR="005B5E52" w:rsidRDefault="005B5E52" w:rsidP="005B5E52">
      <w:pPr>
        <w:pStyle w:val="a7"/>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新型冠状病毒核酸筛查</w:t>
      </w:r>
      <w:proofErr w:type="gramStart"/>
      <w:r>
        <w:rPr>
          <w:rFonts w:ascii="仿宋" w:eastAsia="仿宋" w:hAnsi="仿宋" w:hint="eastAsia"/>
          <w:color w:val="484848"/>
          <w:sz w:val="32"/>
          <w:szCs w:val="32"/>
        </w:rPr>
        <w:t>稀释混样技术</w:t>
      </w:r>
      <w:proofErr w:type="gramEnd"/>
      <w:r>
        <w:rPr>
          <w:rFonts w:ascii="仿宋" w:eastAsia="仿宋" w:hAnsi="仿宋" w:hint="eastAsia"/>
          <w:color w:val="484848"/>
          <w:sz w:val="32"/>
          <w:szCs w:val="32"/>
        </w:rPr>
        <w:t>（以下简称稀释混样）仅适用于大人群样本的筛查，</w:t>
      </w:r>
      <w:proofErr w:type="gramStart"/>
      <w:r>
        <w:rPr>
          <w:rFonts w:ascii="仿宋" w:eastAsia="仿宋" w:hAnsi="仿宋" w:hint="eastAsia"/>
          <w:color w:val="484848"/>
          <w:sz w:val="32"/>
          <w:szCs w:val="32"/>
        </w:rPr>
        <w:t>稀释混样检测</w:t>
      </w:r>
      <w:proofErr w:type="gramEnd"/>
      <w:r>
        <w:rPr>
          <w:rFonts w:ascii="仿宋" w:eastAsia="仿宋" w:hAnsi="仿宋" w:hint="eastAsia"/>
          <w:color w:val="484848"/>
          <w:sz w:val="32"/>
          <w:szCs w:val="32"/>
        </w:rPr>
        <w:t>结果不作为最终确诊依据。在人群总体阳性率较低（低于0.1%）时更为适宜。以下人群不建议采用</w:t>
      </w:r>
      <w:proofErr w:type="gramStart"/>
      <w:r>
        <w:rPr>
          <w:rFonts w:ascii="仿宋" w:eastAsia="仿宋" w:hAnsi="仿宋" w:hint="eastAsia"/>
          <w:color w:val="484848"/>
          <w:sz w:val="32"/>
          <w:szCs w:val="32"/>
        </w:rPr>
        <w:t>稀释混样检测</w:t>
      </w:r>
      <w:proofErr w:type="gramEnd"/>
      <w:r>
        <w:rPr>
          <w:rFonts w:ascii="仿宋" w:eastAsia="仿宋" w:hAnsi="仿宋" w:hint="eastAsia"/>
          <w:color w:val="484848"/>
          <w:sz w:val="32"/>
          <w:szCs w:val="32"/>
        </w:rPr>
        <w:t>：</w:t>
      </w:r>
    </w:p>
    <w:p w14:paraId="35AD831F" w14:textId="77777777" w:rsidR="005B5E52" w:rsidRDefault="005B5E52" w:rsidP="005B5E52">
      <w:pPr>
        <w:pStyle w:val="a7"/>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（一）重点区域人群（近期有疫情发生的小区含确诊病例和无症状感染者、老旧小区、人口密集小区、流动人口聚集区和近期离省外出人群）、其他不适合</w:t>
      </w:r>
      <w:proofErr w:type="gramStart"/>
      <w:r>
        <w:rPr>
          <w:rFonts w:ascii="仿宋" w:eastAsia="仿宋" w:hAnsi="仿宋" w:hint="eastAsia"/>
          <w:color w:val="484848"/>
          <w:sz w:val="32"/>
          <w:szCs w:val="32"/>
        </w:rPr>
        <w:t>稀释混样检测</w:t>
      </w:r>
      <w:proofErr w:type="gramEnd"/>
      <w:r>
        <w:rPr>
          <w:rFonts w:ascii="仿宋" w:eastAsia="仿宋" w:hAnsi="仿宋" w:hint="eastAsia"/>
          <w:color w:val="484848"/>
          <w:sz w:val="32"/>
          <w:szCs w:val="32"/>
        </w:rPr>
        <w:t>的人群；</w:t>
      </w:r>
    </w:p>
    <w:p w14:paraId="5C8BFF79" w14:textId="77777777" w:rsidR="005B5E52" w:rsidRDefault="005B5E52" w:rsidP="005B5E52">
      <w:pPr>
        <w:pStyle w:val="a7"/>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（二）医疗机构就诊患者。</w:t>
      </w:r>
    </w:p>
    <w:p w14:paraId="01D49C2D" w14:textId="77777777" w:rsidR="005B5E52" w:rsidRDefault="005B5E52" w:rsidP="005B5E52">
      <w:pPr>
        <w:pStyle w:val="a7"/>
        <w:spacing w:before="0" w:beforeAutospacing="0" w:after="0" w:afterAutospacing="0"/>
        <w:ind w:firstLine="480"/>
        <w:jc w:val="both"/>
        <w:rPr>
          <w:rFonts w:ascii="仿宋" w:eastAsia="仿宋" w:hAnsi="仿宋" w:hint="eastAsia"/>
          <w:color w:val="484848"/>
          <w:sz w:val="32"/>
          <w:szCs w:val="32"/>
        </w:rPr>
      </w:pPr>
      <w:r>
        <w:rPr>
          <w:rFonts w:ascii="黑体" w:eastAsia="黑体" w:hAnsi="黑体" w:hint="eastAsia"/>
          <w:color w:val="484848"/>
          <w:sz w:val="32"/>
          <w:szCs w:val="32"/>
        </w:rPr>
        <w:t>二、实验室条件</w:t>
      </w:r>
    </w:p>
    <w:p w14:paraId="54782E4F" w14:textId="77777777" w:rsidR="005B5E52" w:rsidRDefault="005B5E52" w:rsidP="005B5E52">
      <w:pPr>
        <w:pStyle w:val="a7"/>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（一）根据《病原微生物实验室生物安全管理条例》（国务院424号令），具备在设区的市级人民政府卫生健康主管部门备案的生物安全二级及以上实验室。</w:t>
      </w:r>
    </w:p>
    <w:p w14:paraId="21955CE1" w14:textId="77777777" w:rsidR="005B5E52" w:rsidRDefault="005B5E52" w:rsidP="005B5E52">
      <w:pPr>
        <w:pStyle w:val="a7"/>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（二）根据《医疗机构临床基因扩增检验实验室管理办法》（卫办医政发〔2010〕</w:t>
      </w:r>
      <w:r>
        <w:rPr>
          <w:rFonts w:ascii="仿宋" w:eastAsia="仿宋" w:hAnsi="仿宋" w:cs="Times New Roman" w:hint="eastAsia"/>
          <w:color w:val="484848"/>
          <w:sz w:val="32"/>
          <w:szCs w:val="32"/>
        </w:rPr>
        <w:t>194</w:t>
      </w:r>
      <w:r>
        <w:rPr>
          <w:rFonts w:ascii="仿宋" w:eastAsia="仿宋" w:hAnsi="仿宋" w:hint="eastAsia"/>
          <w:color w:val="484848"/>
          <w:sz w:val="32"/>
          <w:szCs w:val="32"/>
        </w:rPr>
        <w:t>号），具备经过省级卫生健康行政部门审核备案的临床基因扩增检验实验室。</w:t>
      </w:r>
    </w:p>
    <w:p w14:paraId="7A18D57D" w14:textId="77777777" w:rsidR="005B5E52" w:rsidRDefault="005B5E52" w:rsidP="005B5E52">
      <w:pPr>
        <w:pStyle w:val="a7"/>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（三）医学检验实验室（常称为第三方实验室）应当符合《医学检验实验室基本标准（试行）》《医学检验实验室管理规范（试行）》等要求。</w:t>
      </w:r>
    </w:p>
    <w:p w14:paraId="25C30DA1" w14:textId="77777777" w:rsidR="005B5E52" w:rsidRDefault="005B5E52" w:rsidP="005B5E52">
      <w:pPr>
        <w:pStyle w:val="a7"/>
        <w:spacing w:before="0" w:beforeAutospacing="0" w:after="0" w:afterAutospacing="0"/>
        <w:ind w:firstLine="480"/>
        <w:jc w:val="both"/>
        <w:rPr>
          <w:rFonts w:ascii="仿宋" w:eastAsia="仿宋" w:hAnsi="仿宋" w:hint="eastAsia"/>
          <w:color w:val="484848"/>
          <w:sz w:val="32"/>
          <w:szCs w:val="32"/>
        </w:rPr>
      </w:pPr>
      <w:r>
        <w:rPr>
          <w:rFonts w:ascii="黑体" w:eastAsia="黑体" w:hAnsi="黑体" w:hint="eastAsia"/>
          <w:color w:val="484848"/>
          <w:sz w:val="32"/>
          <w:szCs w:val="32"/>
        </w:rPr>
        <w:t>三、生物安全要求</w:t>
      </w:r>
    </w:p>
    <w:p w14:paraId="46EE9EA6" w14:textId="77777777" w:rsidR="005B5E52" w:rsidRDefault="005B5E52" w:rsidP="005B5E52">
      <w:pPr>
        <w:pStyle w:val="a7"/>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根据《国家卫生健康委办公厅关于医疗机构开展新型冠状病毒核酸检测有关要求的通知》（国卫办医函〔2020〕</w:t>
      </w:r>
      <w:r>
        <w:rPr>
          <w:rFonts w:ascii="仿宋" w:eastAsia="仿宋" w:hAnsi="仿宋" w:cs="Times New Roman" w:hint="eastAsia"/>
          <w:color w:val="484848"/>
          <w:sz w:val="32"/>
          <w:szCs w:val="32"/>
        </w:rPr>
        <w:t>53</w:t>
      </w:r>
      <w:r>
        <w:rPr>
          <w:rFonts w:ascii="仿宋" w:eastAsia="仿宋" w:hAnsi="仿宋" w:hint="eastAsia"/>
          <w:color w:val="484848"/>
          <w:sz w:val="32"/>
          <w:szCs w:val="32"/>
        </w:rPr>
        <w:t>号）和《新型冠状病毒实验室生物安全指南（第二版）》的有关要求，采样和实验室检测人员应采用生物安全三级实验室级别的个人防护。检测工作完成后，废弃物严格按照文件要求处理，不得保存样本。</w:t>
      </w:r>
    </w:p>
    <w:p w14:paraId="4B4912E2" w14:textId="77777777" w:rsidR="005B5E52" w:rsidRDefault="005B5E52" w:rsidP="005B5E52">
      <w:pPr>
        <w:pStyle w:val="a7"/>
        <w:spacing w:before="0" w:beforeAutospacing="0" w:after="0" w:afterAutospacing="0"/>
        <w:ind w:firstLine="480"/>
        <w:jc w:val="both"/>
        <w:rPr>
          <w:rFonts w:ascii="仿宋" w:eastAsia="仿宋" w:hAnsi="仿宋" w:hint="eastAsia"/>
          <w:color w:val="484848"/>
          <w:sz w:val="32"/>
          <w:szCs w:val="32"/>
        </w:rPr>
      </w:pPr>
      <w:r>
        <w:rPr>
          <w:rFonts w:ascii="黑体" w:eastAsia="黑体" w:hAnsi="黑体" w:hint="eastAsia"/>
          <w:color w:val="484848"/>
          <w:sz w:val="32"/>
          <w:szCs w:val="32"/>
        </w:rPr>
        <w:t>四、操作流程</w:t>
      </w:r>
    </w:p>
    <w:p w14:paraId="4D663401" w14:textId="77777777" w:rsidR="005B5E52" w:rsidRDefault="005B5E52" w:rsidP="005B5E52">
      <w:pPr>
        <w:pStyle w:val="a7"/>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（一）材料准备。</w:t>
      </w:r>
    </w:p>
    <w:p w14:paraId="64E5E446" w14:textId="77777777" w:rsidR="005B5E52" w:rsidRDefault="005B5E52" w:rsidP="005B5E52">
      <w:pPr>
        <w:pStyle w:val="a7"/>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1.采样管。常规采样管，推荐含病毒保存液</w:t>
      </w:r>
      <w:r>
        <w:rPr>
          <w:rFonts w:ascii="仿宋" w:eastAsia="仿宋" w:hAnsi="仿宋" w:cs="Times New Roman" w:hint="eastAsia"/>
          <w:color w:val="484848"/>
          <w:sz w:val="32"/>
          <w:szCs w:val="32"/>
        </w:rPr>
        <w:t>1</w:t>
      </w:r>
      <w:r>
        <w:rPr>
          <w:rFonts w:ascii="仿宋" w:eastAsia="仿宋" w:hAnsi="仿宋" w:hint="eastAsia"/>
          <w:color w:val="484848"/>
          <w:sz w:val="32"/>
          <w:szCs w:val="32"/>
        </w:rPr>
        <w:t>～</w:t>
      </w:r>
      <w:r>
        <w:rPr>
          <w:rFonts w:ascii="仿宋" w:eastAsia="仿宋" w:hAnsi="仿宋" w:cs="Times New Roman" w:hint="eastAsia"/>
          <w:color w:val="484848"/>
          <w:sz w:val="32"/>
          <w:szCs w:val="32"/>
        </w:rPr>
        <w:t>2ml</w:t>
      </w:r>
      <w:r>
        <w:rPr>
          <w:rFonts w:ascii="仿宋" w:eastAsia="仿宋" w:hAnsi="仿宋" w:hint="eastAsia"/>
          <w:color w:val="484848"/>
          <w:sz w:val="32"/>
          <w:szCs w:val="32"/>
        </w:rPr>
        <w:t>的标准采样管。</w:t>
      </w:r>
    </w:p>
    <w:p w14:paraId="6273506E" w14:textId="77777777" w:rsidR="005B5E52" w:rsidRDefault="005B5E52" w:rsidP="005B5E52">
      <w:pPr>
        <w:pStyle w:val="a7"/>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2.咽拭子。</w:t>
      </w:r>
    </w:p>
    <w:p w14:paraId="7CE18797" w14:textId="77777777" w:rsidR="005B5E52" w:rsidRDefault="005B5E52" w:rsidP="005B5E52">
      <w:pPr>
        <w:pStyle w:val="a7"/>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3.振荡器。</w:t>
      </w:r>
    </w:p>
    <w:p w14:paraId="731BA0D1" w14:textId="77777777" w:rsidR="005B5E52" w:rsidRDefault="005B5E52" w:rsidP="005B5E52">
      <w:pPr>
        <w:pStyle w:val="a7"/>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4.其他开展核酸检测的常规物质准备。</w:t>
      </w:r>
    </w:p>
    <w:p w14:paraId="05F56099" w14:textId="77777777" w:rsidR="005B5E52" w:rsidRDefault="005B5E52" w:rsidP="005B5E52">
      <w:pPr>
        <w:pStyle w:val="a7"/>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（二）采样与混合。</w:t>
      </w:r>
    </w:p>
    <w:p w14:paraId="31878C00" w14:textId="77777777" w:rsidR="005B5E52" w:rsidRDefault="005B5E52" w:rsidP="005B5E52">
      <w:pPr>
        <w:pStyle w:val="a7"/>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1.咽拭子采样方法。被采集人员头部微仰，采样者将拭子越过舌根，在被采集者两侧咽扁桃体稍微用力来回擦拭至少</w:t>
      </w:r>
      <w:r>
        <w:rPr>
          <w:rFonts w:ascii="仿宋" w:eastAsia="仿宋" w:hAnsi="仿宋" w:cs="Times New Roman" w:hint="eastAsia"/>
          <w:color w:val="484848"/>
          <w:sz w:val="32"/>
          <w:szCs w:val="32"/>
        </w:rPr>
        <w:t>3</w:t>
      </w:r>
      <w:r>
        <w:rPr>
          <w:rFonts w:ascii="仿宋" w:eastAsia="仿宋" w:hAnsi="仿宋" w:hint="eastAsia"/>
          <w:color w:val="484848"/>
          <w:sz w:val="32"/>
          <w:szCs w:val="32"/>
        </w:rPr>
        <w:t>次，将拭子头浸入含</w:t>
      </w:r>
      <w:r>
        <w:rPr>
          <w:rFonts w:ascii="仿宋" w:eastAsia="仿宋" w:hAnsi="仿宋" w:cs="Times New Roman" w:hint="eastAsia"/>
          <w:color w:val="484848"/>
          <w:sz w:val="32"/>
          <w:szCs w:val="32"/>
        </w:rPr>
        <w:t>1</w:t>
      </w:r>
      <w:r>
        <w:rPr>
          <w:rFonts w:ascii="仿宋" w:eastAsia="仿宋" w:hAnsi="仿宋" w:hint="eastAsia"/>
          <w:color w:val="484848"/>
          <w:sz w:val="32"/>
          <w:szCs w:val="32"/>
        </w:rPr>
        <w:t>～</w:t>
      </w:r>
      <w:r>
        <w:rPr>
          <w:rFonts w:ascii="仿宋" w:eastAsia="仿宋" w:hAnsi="仿宋" w:cs="Times New Roman" w:hint="eastAsia"/>
          <w:color w:val="484848"/>
          <w:sz w:val="32"/>
          <w:szCs w:val="32"/>
        </w:rPr>
        <w:t>3ml</w:t>
      </w:r>
      <w:r>
        <w:rPr>
          <w:rFonts w:ascii="仿宋" w:eastAsia="仿宋" w:hAnsi="仿宋" w:hint="eastAsia"/>
          <w:color w:val="484848"/>
          <w:sz w:val="32"/>
          <w:szCs w:val="32"/>
        </w:rPr>
        <w:t>病毒保存液（也可使用等渗盐溶液、组织培养液或磷酸盐缓冲液）的管中，尾部弃去，旋紧管盖。</w:t>
      </w:r>
    </w:p>
    <w:p w14:paraId="38129B3E" w14:textId="77777777" w:rsidR="005B5E52" w:rsidRDefault="005B5E52" w:rsidP="005B5E52">
      <w:pPr>
        <w:pStyle w:val="a7"/>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2.样本混合。将采集的数个样本（原则上不超过</w:t>
      </w:r>
      <w:r>
        <w:rPr>
          <w:rFonts w:ascii="仿宋" w:eastAsia="仿宋" w:hAnsi="仿宋" w:cs="Times New Roman" w:hint="eastAsia"/>
          <w:color w:val="484848"/>
          <w:sz w:val="32"/>
          <w:szCs w:val="32"/>
        </w:rPr>
        <w:t>5</w:t>
      </w:r>
      <w:r>
        <w:rPr>
          <w:rFonts w:ascii="仿宋" w:eastAsia="仿宋" w:hAnsi="仿宋" w:hint="eastAsia"/>
          <w:color w:val="484848"/>
          <w:sz w:val="32"/>
          <w:szCs w:val="32"/>
        </w:rPr>
        <w:t>个）各取</w:t>
      </w:r>
      <w:r>
        <w:rPr>
          <w:rFonts w:ascii="仿宋" w:eastAsia="仿宋" w:hAnsi="仿宋" w:cs="Times New Roman" w:hint="eastAsia"/>
          <w:color w:val="484848"/>
          <w:sz w:val="32"/>
          <w:szCs w:val="32"/>
        </w:rPr>
        <w:t>200ul</w:t>
      </w:r>
      <w:r>
        <w:rPr>
          <w:rFonts w:ascii="仿宋" w:eastAsia="仿宋" w:hAnsi="仿宋" w:hint="eastAsia"/>
          <w:color w:val="484848"/>
          <w:sz w:val="32"/>
          <w:szCs w:val="32"/>
        </w:rPr>
        <w:t>进行充分混合，形成混合待检样本。</w:t>
      </w:r>
    </w:p>
    <w:p w14:paraId="3CDA58B0" w14:textId="77777777" w:rsidR="005B5E52" w:rsidRDefault="005B5E52" w:rsidP="005B5E52">
      <w:pPr>
        <w:pStyle w:val="a7"/>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（三）核酸检测。</w:t>
      </w:r>
    </w:p>
    <w:p w14:paraId="1F893680" w14:textId="77777777" w:rsidR="005B5E52" w:rsidRDefault="005B5E52" w:rsidP="005B5E52">
      <w:pPr>
        <w:pStyle w:val="a7"/>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核酸提取与检测过程按有关实验室常规标准操作流程进行。每</w:t>
      </w:r>
      <w:proofErr w:type="gramStart"/>
      <w:r>
        <w:rPr>
          <w:rFonts w:ascii="仿宋" w:eastAsia="仿宋" w:hAnsi="仿宋" w:hint="eastAsia"/>
          <w:color w:val="484848"/>
          <w:sz w:val="32"/>
          <w:szCs w:val="32"/>
        </w:rPr>
        <w:t>一次上样扩增</w:t>
      </w:r>
      <w:proofErr w:type="gramEnd"/>
      <w:r>
        <w:rPr>
          <w:rFonts w:ascii="仿宋" w:eastAsia="仿宋" w:hAnsi="仿宋" w:hint="eastAsia"/>
          <w:color w:val="484848"/>
          <w:sz w:val="32"/>
          <w:szCs w:val="32"/>
        </w:rPr>
        <w:t>中，80个加</w:t>
      </w:r>
      <w:proofErr w:type="gramStart"/>
      <w:r>
        <w:rPr>
          <w:rFonts w:ascii="仿宋" w:eastAsia="仿宋" w:hAnsi="仿宋" w:hint="eastAsia"/>
          <w:color w:val="484848"/>
          <w:sz w:val="32"/>
          <w:szCs w:val="32"/>
        </w:rPr>
        <w:t>样孔用于</w:t>
      </w:r>
      <w:proofErr w:type="gramEnd"/>
      <w:r>
        <w:rPr>
          <w:rFonts w:ascii="仿宋" w:eastAsia="仿宋" w:hAnsi="仿宋" w:hint="eastAsia"/>
          <w:color w:val="484848"/>
          <w:sz w:val="32"/>
          <w:szCs w:val="32"/>
        </w:rPr>
        <w:t>加入混合样本（如</w:t>
      </w:r>
      <w:r>
        <w:rPr>
          <w:rFonts w:ascii="仿宋" w:eastAsia="仿宋" w:hAnsi="仿宋" w:cs="Times New Roman" w:hint="eastAsia"/>
          <w:color w:val="484848"/>
          <w:sz w:val="32"/>
          <w:szCs w:val="32"/>
        </w:rPr>
        <w:t>5</w:t>
      </w:r>
      <w:r>
        <w:rPr>
          <w:rFonts w:ascii="仿宋" w:eastAsia="仿宋" w:hAnsi="仿宋" w:hint="eastAsia"/>
          <w:color w:val="484848"/>
          <w:sz w:val="32"/>
          <w:szCs w:val="32"/>
        </w:rPr>
        <w:t>混</w:t>
      </w:r>
      <w:r>
        <w:rPr>
          <w:rFonts w:ascii="仿宋" w:eastAsia="仿宋" w:hAnsi="仿宋" w:cs="Times New Roman" w:hint="eastAsia"/>
          <w:color w:val="484848"/>
          <w:sz w:val="32"/>
          <w:szCs w:val="32"/>
        </w:rPr>
        <w:t>1</w:t>
      </w:r>
      <w:r>
        <w:rPr>
          <w:rFonts w:ascii="仿宋" w:eastAsia="仿宋" w:hAnsi="仿宋" w:hint="eastAsia"/>
          <w:color w:val="484848"/>
          <w:sz w:val="32"/>
          <w:szCs w:val="32"/>
        </w:rPr>
        <w:t>，总</w:t>
      </w:r>
      <w:r>
        <w:rPr>
          <w:rFonts w:ascii="仿宋" w:eastAsia="仿宋" w:hAnsi="仿宋" w:hint="eastAsia"/>
          <w:color w:val="484848"/>
          <w:sz w:val="32"/>
          <w:szCs w:val="32"/>
        </w:rPr>
        <w:lastRenderedPageBreak/>
        <w:t>计</w:t>
      </w:r>
      <w:r>
        <w:rPr>
          <w:rFonts w:ascii="仿宋" w:eastAsia="仿宋" w:hAnsi="仿宋" w:cs="Times New Roman" w:hint="eastAsia"/>
          <w:color w:val="484848"/>
          <w:sz w:val="32"/>
          <w:szCs w:val="32"/>
        </w:rPr>
        <w:t>80×5</w:t>
      </w:r>
      <w:r>
        <w:rPr>
          <w:rFonts w:ascii="仿宋" w:eastAsia="仿宋" w:hAnsi="仿宋" w:hint="eastAsia"/>
          <w:color w:val="484848"/>
          <w:sz w:val="32"/>
          <w:szCs w:val="32"/>
        </w:rPr>
        <w:t>个单样本）；</w:t>
      </w:r>
      <w:r>
        <w:rPr>
          <w:rFonts w:ascii="仿宋" w:eastAsia="仿宋" w:hAnsi="仿宋" w:cs="Times New Roman" w:hint="eastAsia"/>
          <w:color w:val="484848"/>
          <w:sz w:val="32"/>
          <w:szCs w:val="32"/>
        </w:rPr>
        <w:t>10</w:t>
      </w:r>
      <w:r>
        <w:rPr>
          <w:rFonts w:ascii="仿宋" w:eastAsia="仿宋" w:hAnsi="仿宋" w:hint="eastAsia"/>
          <w:color w:val="484848"/>
          <w:sz w:val="32"/>
          <w:szCs w:val="32"/>
        </w:rPr>
        <w:t>个加</w:t>
      </w:r>
      <w:proofErr w:type="gramStart"/>
      <w:r>
        <w:rPr>
          <w:rFonts w:ascii="仿宋" w:eastAsia="仿宋" w:hAnsi="仿宋" w:hint="eastAsia"/>
          <w:color w:val="484848"/>
          <w:sz w:val="32"/>
          <w:szCs w:val="32"/>
        </w:rPr>
        <w:t>样孔用于</w:t>
      </w:r>
      <w:proofErr w:type="gramEnd"/>
      <w:r>
        <w:rPr>
          <w:rFonts w:ascii="仿宋" w:eastAsia="仿宋" w:hAnsi="仿宋" w:hint="eastAsia"/>
          <w:color w:val="484848"/>
          <w:sz w:val="32"/>
          <w:szCs w:val="32"/>
        </w:rPr>
        <w:t>单样本（单样本来自上述</w:t>
      </w:r>
      <w:r>
        <w:rPr>
          <w:rFonts w:ascii="仿宋" w:eastAsia="仿宋" w:hAnsi="仿宋" w:cs="Times New Roman" w:hint="eastAsia"/>
          <w:color w:val="484848"/>
          <w:sz w:val="32"/>
          <w:szCs w:val="32"/>
        </w:rPr>
        <w:t>80×5</w:t>
      </w:r>
      <w:r>
        <w:rPr>
          <w:rFonts w:ascii="仿宋" w:eastAsia="仿宋" w:hAnsi="仿宋" w:hint="eastAsia"/>
          <w:color w:val="484848"/>
          <w:sz w:val="32"/>
          <w:szCs w:val="32"/>
        </w:rPr>
        <w:t>个原液的随机样本）。</w:t>
      </w:r>
    </w:p>
    <w:p w14:paraId="6DFC88D1" w14:textId="77777777" w:rsidR="005B5E52" w:rsidRDefault="005B5E52" w:rsidP="005B5E52">
      <w:pPr>
        <w:pStyle w:val="a7"/>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（四）阳性结果判断与重测。</w:t>
      </w:r>
    </w:p>
    <w:p w14:paraId="0C199C3C" w14:textId="77777777" w:rsidR="005B5E52" w:rsidRDefault="005B5E52" w:rsidP="005B5E52">
      <w:pPr>
        <w:pStyle w:val="a7"/>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1.检测结果先按照各检测试剂</w:t>
      </w:r>
      <w:proofErr w:type="gramStart"/>
      <w:r>
        <w:rPr>
          <w:rFonts w:ascii="仿宋" w:eastAsia="仿宋" w:hAnsi="仿宋" w:hint="eastAsia"/>
          <w:color w:val="484848"/>
          <w:sz w:val="32"/>
          <w:szCs w:val="32"/>
        </w:rPr>
        <w:t>盒使用</w:t>
      </w:r>
      <w:proofErr w:type="gramEnd"/>
      <w:r>
        <w:rPr>
          <w:rFonts w:ascii="仿宋" w:eastAsia="仿宋" w:hAnsi="仿宋" w:hint="eastAsia"/>
          <w:color w:val="484848"/>
          <w:sz w:val="32"/>
          <w:szCs w:val="32"/>
        </w:rPr>
        <w:t>说明书的要求，对被检测基因位点逐一判定，出现任</w:t>
      </w:r>
      <w:proofErr w:type="gramStart"/>
      <w:r>
        <w:rPr>
          <w:rFonts w:ascii="仿宋" w:eastAsia="仿宋" w:hAnsi="仿宋" w:hint="eastAsia"/>
          <w:color w:val="484848"/>
          <w:sz w:val="32"/>
          <w:szCs w:val="32"/>
        </w:rPr>
        <w:t>一</w:t>
      </w:r>
      <w:proofErr w:type="gramEnd"/>
      <w:r>
        <w:rPr>
          <w:rFonts w:ascii="仿宋" w:eastAsia="仿宋" w:hAnsi="仿宋" w:hint="eastAsia"/>
          <w:color w:val="484848"/>
          <w:sz w:val="32"/>
          <w:szCs w:val="32"/>
        </w:rPr>
        <w:t>位点阳性或能测出</w:t>
      </w:r>
      <w:r>
        <w:rPr>
          <w:rFonts w:ascii="仿宋" w:eastAsia="仿宋" w:hAnsi="仿宋" w:cs="Times New Roman" w:hint="eastAsia"/>
          <w:color w:val="484848"/>
          <w:sz w:val="32"/>
          <w:szCs w:val="32"/>
        </w:rPr>
        <w:t>Ct</w:t>
      </w:r>
      <w:r>
        <w:rPr>
          <w:rFonts w:ascii="仿宋" w:eastAsia="仿宋" w:hAnsi="仿宋" w:hint="eastAsia"/>
          <w:color w:val="484848"/>
          <w:sz w:val="32"/>
          <w:szCs w:val="32"/>
        </w:rPr>
        <w:t>值的混合样本，均作为重测对象。</w:t>
      </w:r>
    </w:p>
    <w:p w14:paraId="4D8B6943" w14:textId="77777777" w:rsidR="005B5E52" w:rsidRDefault="005B5E52" w:rsidP="005B5E52">
      <w:pPr>
        <w:pStyle w:val="a7"/>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2.混合样本检出</w:t>
      </w:r>
      <w:r>
        <w:rPr>
          <w:rFonts w:ascii="仿宋" w:eastAsia="仿宋" w:hAnsi="仿宋" w:cs="Times New Roman" w:hint="eastAsia"/>
          <w:color w:val="484848"/>
          <w:sz w:val="32"/>
          <w:szCs w:val="32"/>
        </w:rPr>
        <w:t>Ct</w:t>
      </w:r>
      <w:r>
        <w:rPr>
          <w:rFonts w:ascii="仿宋" w:eastAsia="仿宋" w:hAnsi="仿宋" w:hint="eastAsia"/>
          <w:color w:val="484848"/>
          <w:sz w:val="32"/>
          <w:szCs w:val="32"/>
        </w:rPr>
        <w:t>值，其所有的单个原液样本需重新取样，按照常规方法进行单样本核酸检测。</w:t>
      </w:r>
    </w:p>
    <w:p w14:paraId="78520368" w14:textId="77777777" w:rsidR="005B5E52" w:rsidRDefault="005B5E52" w:rsidP="005B5E52">
      <w:pPr>
        <w:pStyle w:val="a7"/>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3.单样本检出阳性，其所在混合样本要全部按常规方法进行单样本核酸检测。</w:t>
      </w:r>
    </w:p>
    <w:p w14:paraId="7D59A556" w14:textId="77777777" w:rsidR="005B5E52" w:rsidRDefault="005B5E52" w:rsidP="005B5E52">
      <w:pPr>
        <w:pStyle w:val="a7"/>
        <w:spacing w:before="0" w:beforeAutospacing="0" w:after="0" w:afterAutospacing="0"/>
        <w:ind w:firstLine="480"/>
        <w:jc w:val="both"/>
        <w:rPr>
          <w:rFonts w:ascii="仿宋" w:eastAsia="仿宋" w:hAnsi="仿宋" w:hint="eastAsia"/>
          <w:color w:val="484848"/>
          <w:sz w:val="32"/>
          <w:szCs w:val="32"/>
        </w:rPr>
      </w:pPr>
      <w:r>
        <w:rPr>
          <w:rFonts w:ascii="黑体" w:eastAsia="黑体" w:hAnsi="黑体" w:hint="eastAsia"/>
          <w:color w:val="484848"/>
          <w:sz w:val="32"/>
          <w:szCs w:val="32"/>
        </w:rPr>
        <w:t>五、质量控制</w:t>
      </w:r>
    </w:p>
    <w:p w14:paraId="7328DE7B" w14:textId="77777777" w:rsidR="005B5E52" w:rsidRDefault="005B5E52" w:rsidP="005B5E52">
      <w:pPr>
        <w:pStyle w:val="a7"/>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（一）</w:t>
      </w:r>
      <w:proofErr w:type="gramStart"/>
      <w:r>
        <w:rPr>
          <w:rFonts w:ascii="仿宋" w:eastAsia="仿宋" w:hAnsi="仿宋" w:hint="eastAsia"/>
          <w:color w:val="484848"/>
          <w:sz w:val="32"/>
          <w:szCs w:val="32"/>
        </w:rPr>
        <w:t>室内质</w:t>
      </w:r>
      <w:proofErr w:type="gramEnd"/>
      <w:r>
        <w:rPr>
          <w:rFonts w:ascii="仿宋" w:eastAsia="仿宋" w:hAnsi="仿宋" w:hint="eastAsia"/>
          <w:color w:val="484848"/>
          <w:sz w:val="32"/>
          <w:szCs w:val="32"/>
        </w:rPr>
        <w:t>控。每批上样检测应当在剩余加样孔中设置1个弱阳性质控样本和三个阴性质控样本（</w:t>
      </w:r>
      <w:r>
        <w:rPr>
          <w:rFonts w:ascii="仿宋" w:eastAsia="仿宋" w:hAnsi="仿宋" w:cs="Times New Roman" w:hint="eastAsia"/>
          <w:color w:val="484848"/>
          <w:sz w:val="32"/>
          <w:szCs w:val="32"/>
        </w:rPr>
        <w:t>2</w:t>
      </w:r>
      <w:r>
        <w:rPr>
          <w:rFonts w:ascii="仿宋" w:eastAsia="仿宋" w:hAnsi="仿宋" w:hint="eastAsia"/>
          <w:color w:val="484848"/>
          <w:sz w:val="32"/>
          <w:szCs w:val="32"/>
        </w:rPr>
        <w:t>份生理盐水和</w:t>
      </w:r>
      <w:r>
        <w:rPr>
          <w:rFonts w:ascii="仿宋" w:eastAsia="仿宋" w:hAnsi="仿宋" w:cs="Times New Roman" w:hint="eastAsia"/>
          <w:color w:val="484848"/>
          <w:sz w:val="32"/>
          <w:szCs w:val="32"/>
        </w:rPr>
        <w:t>1</w:t>
      </w:r>
      <w:r>
        <w:rPr>
          <w:rFonts w:ascii="仿宋" w:eastAsia="仿宋" w:hAnsi="仿宋" w:hint="eastAsia"/>
          <w:color w:val="484848"/>
          <w:sz w:val="32"/>
          <w:szCs w:val="32"/>
        </w:rPr>
        <w:t>份阴性混合样本）。</w:t>
      </w:r>
      <w:r>
        <w:rPr>
          <w:rFonts w:ascii="仿宋" w:eastAsia="仿宋" w:hAnsi="仿宋" w:cs="Times New Roman" w:hint="eastAsia"/>
          <w:color w:val="484848"/>
          <w:sz w:val="32"/>
          <w:szCs w:val="32"/>
        </w:rPr>
        <w:t>3</w:t>
      </w:r>
      <w:r>
        <w:rPr>
          <w:rFonts w:ascii="仿宋" w:eastAsia="仿宋" w:hAnsi="仿宋" w:hint="eastAsia"/>
          <w:color w:val="484848"/>
          <w:sz w:val="32"/>
          <w:szCs w:val="32"/>
        </w:rPr>
        <w:t>份阴性质控样本随机放在临床样本中间。弱阳性质控测定为阳性，</w:t>
      </w:r>
      <w:r>
        <w:rPr>
          <w:rFonts w:ascii="仿宋" w:eastAsia="仿宋" w:hAnsi="仿宋" w:cs="Times New Roman" w:hint="eastAsia"/>
          <w:color w:val="484848"/>
          <w:sz w:val="32"/>
          <w:szCs w:val="32"/>
        </w:rPr>
        <w:t>3</w:t>
      </w:r>
      <w:r>
        <w:rPr>
          <w:rFonts w:ascii="仿宋" w:eastAsia="仿宋" w:hAnsi="仿宋" w:hint="eastAsia"/>
          <w:color w:val="484848"/>
          <w:sz w:val="32"/>
          <w:szCs w:val="32"/>
        </w:rPr>
        <w:t>个阴性质</w:t>
      </w:r>
      <w:proofErr w:type="gramStart"/>
      <w:r>
        <w:rPr>
          <w:rFonts w:ascii="仿宋" w:eastAsia="仿宋" w:hAnsi="仿宋" w:hint="eastAsia"/>
          <w:color w:val="484848"/>
          <w:sz w:val="32"/>
          <w:szCs w:val="32"/>
        </w:rPr>
        <w:t>控全部</w:t>
      </w:r>
      <w:proofErr w:type="gramEnd"/>
      <w:r>
        <w:rPr>
          <w:rFonts w:ascii="仿宋" w:eastAsia="仿宋" w:hAnsi="仿宋" w:hint="eastAsia"/>
          <w:color w:val="484848"/>
          <w:sz w:val="32"/>
          <w:szCs w:val="32"/>
        </w:rPr>
        <w:t>测定为阴性，视为在控。反之，则为失控，不可发出报告，应分析原因，必要时重新检测样本。</w:t>
      </w:r>
    </w:p>
    <w:p w14:paraId="01EC19D6" w14:textId="77777777" w:rsidR="005B5E52" w:rsidRDefault="005B5E52" w:rsidP="005B5E52">
      <w:pPr>
        <w:pStyle w:val="a7"/>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（二）室间质评。实验室应参加省级及以上临床检验中心组织的室间质量评价（EQA）活动，按照活动要求完成</w:t>
      </w:r>
      <w:proofErr w:type="gramStart"/>
      <w:r>
        <w:rPr>
          <w:rFonts w:ascii="仿宋" w:eastAsia="仿宋" w:hAnsi="仿宋" w:hint="eastAsia"/>
          <w:color w:val="484848"/>
          <w:sz w:val="32"/>
          <w:szCs w:val="32"/>
        </w:rPr>
        <w:t>质评物</w:t>
      </w:r>
      <w:proofErr w:type="gramEnd"/>
      <w:r>
        <w:rPr>
          <w:rFonts w:ascii="仿宋" w:eastAsia="仿宋" w:hAnsi="仿宋" w:hint="eastAsia"/>
          <w:color w:val="484848"/>
          <w:sz w:val="32"/>
          <w:szCs w:val="32"/>
        </w:rPr>
        <w:t>接收、储存、检测和回报检测结果等工作。</w:t>
      </w:r>
    </w:p>
    <w:p w14:paraId="59A7D1AD" w14:textId="77777777" w:rsidR="005B5E52" w:rsidRDefault="005B5E52" w:rsidP="005B5E52">
      <w:pPr>
        <w:pStyle w:val="a7"/>
        <w:spacing w:before="0" w:beforeAutospacing="0" w:after="0" w:afterAutospacing="0"/>
        <w:ind w:firstLine="480"/>
        <w:jc w:val="both"/>
        <w:rPr>
          <w:rFonts w:ascii="仿宋" w:eastAsia="仿宋" w:hAnsi="仿宋" w:hint="eastAsia"/>
          <w:color w:val="484848"/>
          <w:sz w:val="32"/>
          <w:szCs w:val="32"/>
        </w:rPr>
      </w:pPr>
      <w:r>
        <w:rPr>
          <w:rFonts w:ascii="黑体" w:eastAsia="黑体" w:hAnsi="黑体" w:hint="eastAsia"/>
          <w:color w:val="484848"/>
          <w:sz w:val="32"/>
          <w:szCs w:val="32"/>
        </w:rPr>
        <w:t>六、注意事项</w:t>
      </w:r>
    </w:p>
    <w:p w14:paraId="1623B6C4" w14:textId="77777777" w:rsidR="005B5E52" w:rsidRDefault="005B5E52" w:rsidP="005B5E52">
      <w:pPr>
        <w:pStyle w:val="a7"/>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（一）注意避免采样过程中的交叉污染，落实一人</w:t>
      </w:r>
      <w:proofErr w:type="gramStart"/>
      <w:r>
        <w:rPr>
          <w:rFonts w:ascii="仿宋" w:eastAsia="仿宋" w:hAnsi="仿宋" w:hint="eastAsia"/>
          <w:color w:val="484848"/>
          <w:sz w:val="32"/>
          <w:szCs w:val="32"/>
        </w:rPr>
        <w:t>一</w:t>
      </w:r>
      <w:proofErr w:type="gramEnd"/>
      <w:r>
        <w:rPr>
          <w:rFonts w:ascii="仿宋" w:eastAsia="仿宋" w:hAnsi="仿宋" w:hint="eastAsia"/>
          <w:color w:val="484848"/>
          <w:sz w:val="32"/>
          <w:szCs w:val="32"/>
        </w:rPr>
        <w:t>消毒；</w:t>
      </w:r>
      <w:proofErr w:type="gramStart"/>
      <w:r>
        <w:rPr>
          <w:rFonts w:ascii="仿宋" w:eastAsia="仿宋" w:hAnsi="仿宋" w:hint="eastAsia"/>
          <w:color w:val="484848"/>
          <w:sz w:val="32"/>
          <w:szCs w:val="32"/>
        </w:rPr>
        <w:t>混样室</w:t>
      </w:r>
      <w:proofErr w:type="gramEnd"/>
      <w:r>
        <w:rPr>
          <w:rFonts w:ascii="仿宋" w:eastAsia="仿宋" w:hAnsi="仿宋" w:hint="eastAsia"/>
          <w:color w:val="484848"/>
          <w:sz w:val="32"/>
          <w:szCs w:val="32"/>
        </w:rPr>
        <w:t>在每进行一批样本稀释</w:t>
      </w:r>
      <w:proofErr w:type="gramStart"/>
      <w:r>
        <w:rPr>
          <w:rFonts w:ascii="仿宋" w:eastAsia="仿宋" w:hAnsi="仿宋" w:hint="eastAsia"/>
          <w:color w:val="484848"/>
          <w:sz w:val="32"/>
          <w:szCs w:val="32"/>
        </w:rPr>
        <w:t>混样操作</w:t>
      </w:r>
      <w:proofErr w:type="gramEnd"/>
      <w:r>
        <w:rPr>
          <w:rFonts w:ascii="仿宋" w:eastAsia="仿宋" w:hAnsi="仿宋" w:hint="eastAsia"/>
          <w:color w:val="484848"/>
          <w:sz w:val="32"/>
          <w:szCs w:val="32"/>
        </w:rPr>
        <w:t>后，应进行消毒处理。</w:t>
      </w:r>
    </w:p>
    <w:p w14:paraId="73272A4F" w14:textId="77777777" w:rsidR="005B5E52" w:rsidRDefault="005B5E52" w:rsidP="005B5E52">
      <w:pPr>
        <w:pStyle w:val="a7"/>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（二）拭子应完全浸润在病毒保存液中，样本在混合前后充分震荡（在振荡器上振荡30秒）。</w:t>
      </w:r>
    </w:p>
    <w:p w14:paraId="408EFFE0" w14:textId="77777777" w:rsidR="005B5E52" w:rsidRDefault="005B5E52" w:rsidP="005B5E52">
      <w:pPr>
        <w:pStyle w:val="a7"/>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（三）</w:t>
      </w:r>
      <w:proofErr w:type="gramStart"/>
      <w:r>
        <w:rPr>
          <w:rFonts w:ascii="仿宋" w:eastAsia="仿宋" w:hAnsi="仿宋" w:hint="eastAsia"/>
          <w:color w:val="484848"/>
          <w:sz w:val="32"/>
          <w:szCs w:val="32"/>
        </w:rPr>
        <w:t>稀释混样检测</w:t>
      </w:r>
      <w:proofErr w:type="gramEnd"/>
      <w:r>
        <w:rPr>
          <w:rFonts w:ascii="仿宋" w:eastAsia="仿宋" w:hAnsi="仿宋" w:hint="eastAsia"/>
          <w:color w:val="484848"/>
          <w:sz w:val="32"/>
          <w:szCs w:val="32"/>
        </w:rPr>
        <w:t>必须提取核酸，禁用“一步法</w:t>
      </w:r>
      <w:r>
        <w:rPr>
          <w:rFonts w:ascii="仿宋" w:eastAsia="仿宋" w:hAnsi="仿宋" w:cs="Times New Roman" w:hint="eastAsia"/>
          <w:color w:val="484848"/>
          <w:sz w:val="32"/>
          <w:szCs w:val="32"/>
        </w:rPr>
        <w:t>”</w:t>
      </w:r>
      <w:r>
        <w:rPr>
          <w:rFonts w:ascii="仿宋" w:eastAsia="仿宋" w:hAnsi="仿宋" w:hint="eastAsia"/>
          <w:color w:val="484848"/>
          <w:sz w:val="32"/>
          <w:szCs w:val="32"/>
        </w:rPr>
        <w:t>。</w:t>
      </w:r>
    </w:p>
    <w:p w14:paraId="48FB12DC" w14:textId="77777777" w:rsidR="005B5E52" w:rsidRDefault="005B5E52" w:rsidP="005B5E52">
      <w:pPr>
        <w:pStyle w:val="a7"/>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（四）建议对试剂检测灵敏度进行评估，应选择灵敏度较高的检测试剂。</w:t>
      </w:r>
    </w:p>
    <w:p w14:paraId="630F5DA2" w14:textId="77777777" w:rsidR="005B5E52" w:rsidRDefault="005B5E52" w:rsidP="005B5E52">
      <w:pPr>
        <w:pStyle w:val="a7"/>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（五）</w:t>
      </w:r>
      <w:proofErr w:type="gramStart"/>
      <w:r>
        <w:rPr>
          <w:rFonts w:ascii="仿宋" w:eastAsia="仿宋" w:hAnsi="仿宋" w:hint="eastAsia"/>
          <w:color w:val="484848"/>
          <w:sz w:val="32"/>
          <w:szCs w:val="32"/>
        </w:rPr>
        <w:t>稀释混样检测</w:t>
      </w:r>
      <w:proofErr w:type="gramEnd"/>
      <w:r>
        <w:rPr>
          <w:rFonts w:ascii="仿宋" w:eastAsia="仿宋" w:hAnsi="仿宋" w:hint="eastAsia"/>
          <w:color w:val="484848"/>
          <w:sz w:val="32"/>
          <w:szCs w:val="32"/>
        </w:rPr>
        <w:t>的阴性样本按每批次扩增留取一份阴性样本备查。</w:t>
      </w:r>
    </w:p>
    <w:p w14:paraId="1C0C4A8D" w14:textId="77777777" w:rsidR="000F171F" w:rsidRPr="005B5E52" w:rsidRDefault="000F171F" w:rsidP="003B3336">
      <w:pPr>
        <w:rPr>
          <w:rFonts w:ascii="微软雅黑" w:eastAsia="微软雅黑" w:hAnsi="微软雅黑" w:hint="eastAsia"/>
          <w:b/>
          <w:bCs/>
          <w:color w:val="FF0000"/>
          <w:shd w:val="pct15" w:color="auto" w:fill="FFFFFF"/>
        </w:rPr>
      </w:pPr>
    </w:p>
    <w:sectPr w:rsidR="000F171F" w:rsidRPr="005B5E52" w:rsidSect="00381BDA">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57573" w14:textId="77777777" w:rsidR="00B9119D" w:rsidRDefault="00B9119D" w:rsidP="00914CF9">
      <w:r>
        <w:separator/>
      </w:r>
    </w:p>
  </w:endnote>
  <w:endnote w:type="continuationSeparator" w:id="0">
    <w:p w14:paraId="7E58479D" w14:textId="77777777" w:rsidR="00B9119D" w:rsidRDefault="00B9119D" w:rsidP="0091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23BE9" w14:textId="77777777" w:rsidR="00B9119D" w:rsidRDefault="00B9119D" w:rsidP="00914CF9">
      <w:r>
        <w:separator/>
      </w:r>
    </w:p>
  </w:footnote>
  <w:footnote w:type="continuationSeparator" w:id="0">
    <w:p w14:paraId="1FF94B1E" w14:textId="77777777" w:rsidR="00B9119D" w:rsidRDefault="00B9119D" w:rsidP="00914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056"/>
    <w:rsid w:val="000F171F"/>
    <w:rsid w:val="001671DC"/>
    <w:rsid w:val="001A6540"/>
    <w:rsid w:val="00381BDA"/>
    <w:rsid w:val="003B3336"/>
    <w:rsid w:val="00572056"/>
    <w:rsid w:val="005B5E52"/>
    <w:rsid w:val="00914CF9"/>
    <w:rsid w:val="00AE5127"/>
    <w:rsid w:val="00AE6EC9"/>
    <w:rsid w:val="00AF1E07"/>
    <w:rsid w:val="00AF7E8A"/>
    <w:rsid w:val="00B9119D"/>
    <w:rsid w:val="00CA62E4"/>
    <w:rsid w:val="00D631E2"/>
    <w:rsid w:val="00F32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46934"/>
  <w15:chartTrackingRefBased/>
  <w15:docId w15:val="{3B11D24C-00D7-4349-8A28-825FAD6E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C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4CF9"/>
    <w:rPr>
      <w:sz w:val="18"/>
      <w:szCs w:val="18"/>
    </w:rPr>
  </w:style>
  <w:style w:type="paragraph" w:styleId="a5">
    <w:name w:val="footer"/>
    <w:basedOn w:val="a"/>
    <w:link w:val="a6"/>
    <w:uiPriority w:val="99"/>
    <w:unhideWhenUsed/>
    <w:rsid w:val="00914CF9"/>
    <w:pPr>
      <w:tabs>
        <w:tab w:val="center" w:pos="4153"/>
        <w:tab w:val="right" w:pos="8306"/>
      </w:tabs>
      <w:snapToGrid w:val="0"/>
      <w:jc w:val="left"/>
    </w:pPr>
    <w:rPr>
      <w:sz w:val="18"/>
      <w:szCs w:val="18"/>
    </w:rPr>
  </w:style>
  <w:style w:type="character" w:customStyle="1" w:styleId="a6">
    <w:name w:val="页脚 字符"/>
    <w:basedOn w:val="a0"/>
    <w:link w:val="a5"/>
    <w:uiPriority w:val="99"/>
    <w:rsid w:val="00914CF9"/>
    <w:rPr>
      <w:sz w:val="18"/>
      <w:szCs w:val="18"/>
    </w:rPr>
  </w:style>
  <w:style w:type="paragraph" w:styleId="a7">
    <w:name w:val="Normal (Web)"/>
    <w:basedOn w:val="a"/>
    <w:uiPriority w:val="99"/>
    <w:semiHidden/>
    <w:unhideWhenUsed/>
    <w:rsid w:val="005B5E5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969972">
      <w:bodyDiv w:val="1"/>
      <w:marLeft w:val="0"/>
      <w:marRight w:val="0"/>
      <w:marTop w:val="0"/>
      <w:marBottom w:val="0"/>
      <w:divBdr>
        <w:top w:val="none" w:sz="0" w:space="0" w:color="auto"/>
        <w:left w:val="none" w:sz="0" w:space="0" w:color="auto"/>
        <w:bottom w:val="none" w:sz="0" w:space="0" w:color="auto"/>
        <w:right w:val="none" w:sz="0" w:space="0" w:color="auto"/>
      </w:divBdr>
    </w:div>
    <w:div w:id="1505172790">
      <w:bodyDiv w:val="1"/>
      <w:marLeft w:val="0"/>
      <w:marRight w:val="0"/>
      <w:marTop w:val="0"/>
      <w:marBottom w:val="0"/>
      <w:divBdr>
        <w:top w:val="none" w:sz="0" w:space="0" w:color="auto"/>
        <w:left w:val="none" w:sz="0" w:space="0" w:color="auto"/>
        <w:bottom w:val="none" w:sz="0" w:space="0" w:color="auto"/>
        <w:right w:val="none" w:sz="0" w:space="0" w:color="auto"/>
      </w:divBdr>
      <w:divsChild>
        <w:div w:id="1549994384">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zuojun</dc:creator>
  <cp:keywords/>
  <dc:description/>
  <cp:lastModifiedBy>shen zuojun</cp:lastModifiedBy>
  <cp:revision>5</cp:revision>
  <dcterms:created xsi:type="dcterms:W3CDTF">2020-11-10T15:25:00Z</dcterms:created>
  <dcterms:modified xsi:type="dcterms:W3CDTF">2020-11-10T15:28:00Z</dcterms:modified>
</cp:coreProperties>
</file>