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0BE6C">
      <w:pPr>
        <w:pStyle w:val="2"/>
        <w:spacing w:before="279" w:line="215" w:lineRule="auto"/>
        <w:jc w:val="center"/>
        <w:outlineLvl w:val="0"/>
        <w:rPr>
          <w:rFonts w:ascii="宋体" w:hAnsi="宋体" w:eastAsia="宋体" w:cs="Times New Roman"/>
          <w:b/>
          <w:snapToGrid/>
          <w:kern w:val="2"/>
          <w:sz w:val="40"/>
          <w:szCs w:val="22"/>
          <w:lang w:val="en-US" w:eastAsia="zh-CN" w:bidi="ar-SA"/>
        </w:rPr>
      </w:pPr>
      <w:r>
        <w:rPr>
          <w:rFonts w:ascii="宋体" w:hAnsi="宋体" w:eastAsia="宋体" w:cs="Times New Roman"/>
          <w:b/>
          <w:snapToGrid/>
          <w:kern w:val="2"/>
          <w:sz w:val="40"/>
          <w:szCs w:val="22"/>
          <w:lang w:val="en-US" w:eastAsia="zh-CN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951865</wp:posOffset>
            </wp:positionV>
            <wp:extent cx="6403340" cy="1333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3226" cy="13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40"/>
        </w:rPr>
        <w:t>AHCCL-AE-</w:t>
      </w:r>
      <w:r>
        <w:rPr>
          <w:rFonts w:hint="eastAsia"/>
          <w:b/>
          <w:sz w:val="40"/>
          <w:lang w:val="en-US" w:eastAsia="zh-CN"/>
        </w:rPr>
        <w:t>82</w:t>
      </w:r>
      <w:r>
        <w:rPr>
          <w:rFonts w:ascii="宋体" w:hAnsi="宋体" w:eastAsia="宋体" w:cs="Times New Roman"/>
          <w:b/>
          <w:snapToGrid/>
          <w:kern w:val="2"/>
          <w:sz w:val="40"/>
          <w:szCs w:val="22"/>
          <w:lang w:val="en-US" w:eastAsia="zh-CN" w:bidi="ar-SA"/>
        </w:rPr>
        <w:t>真菌感染</w:t>
      </w:r>
      <w:r>
        <w:rPr>
          <w:rFonts w:ascii="宋体" w:hAnsi="宋体" w:eastAsia="宋体" w:cs="Times New Roman"/>
          <w:b/>
          <w:snapToGrid/>
          <w:kern w:val="2"/>
          <w:sz w:val="40"/>
          <w:szCs w:val="22"/>
          <w:lang w:val="en-US" w:eastAsia="zh-CN" w:bidi="ar-SA"/>
        </w:rPr>
        <w:t>G</w:t>
      </w:r>
      <w:r>
        <w:rPr>
          <w:rFonts w:ascii="宋体" w:hAnsi="宋体" w:eastAsia="宋体" w:cs="Times New Roman"/>
          <w:b/>
          <w:snapToGrid/>
          <w:kern w:val="2"/>
          <w:sz w:val="40"/>
          <w:szCs w:val="22"/>
          <w:lang w:val="en-US" w:eastAsia="zh-CN" w:bidi="ar-SA"/>
        </w:rPr>
        <w:t>试验检测EQA</w:t>
      </w:r>
      <w:r>
        <w:rPr>
          <w:rFonts w:hint="eastAsia" w:cs="Times New Roman"/>
          <w:b/>
          <w:snapToGrid/>
          <w:kern w:val="2"/>
          <w:sz w:val="40"/>
          <w:szCs w:val="22"/>
          <w:lang w:val="en-US" w:eastAsia="zh-CN" w:bidi="ar-SA"/>
        </w:rPr>
        <w:t>计划</w:t>
      </w:r>
      <w:r>
        <w:rPr>
          <w:rFonts w:ascii="宋体" w:hAnsi="宋体" w:eastAsia="宋体" w:cs="Times New Roman"/>
          <w:b/>
          <w:snapToGrid/>
          <w:kern w:val="2"/>
          <w:sz w:val="40"/>
          <w:szCs w:val="22"/>
          <w:lang w:val="en-US" w:eastAsia="zh-CN" w:bidi="ar-SA"/>
        </w:rPr>
        <w:t>书</w:t>
      </w:r>
    </w:p>
    <w:p w14:paraId="724B25C9">
      <w:pPr>
        <w:spacing w:after="120"/>
        <w:jc w:val="left"/>
        <w:rPr>
          <w:rFonts w:hint="eastAsia" w:ascii="宋体" w:hAnsi="宋体"/>
          <w:sz w:val="24"/>
        </w:rPr>
      </w:pPr>
    </w:p>
    <w:p w14:paraId="552F291D">
      <w:pPr>
        <w:spacing w:after="120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>活动批次：____</w:t>
      </w:r>
      <w:r>
        <w:rPr>
          <w:rFonts w:hint="eastAsia" w:ascii="宋体" w:hAnsi="宋体"/>
          <w:sz w:val="24"/>
          <w:lang w:eastAsia="zh-CN"/>
        </w:rPr>
        <w:t>2026</w:t>
      </w:r>
      <w:r>
        <w:rPr>
          <w:rFonts w:hint="eastAsia" w:ascii="宋体" w:hAnsi="宋体"/>
          <w:sz w:val="24"/>
        </w:rPr>
        <w:t>01次__________   上报截止时间：___</w:t>
      </w:r>
      <w:r>
        <w:rPr>
          <w:rFonts w:hint="eastAsia" w:ascii="宋体" w:hAnsi="宋体"/>
          <w:sz w:val="24"/>
          <w:lang w:val="en-US" w:eastAsia="zh-CN"/>
        </w:rPr>
        <w:t>2026-08-31</w:t>
      </w:r>
      <w:r>
        <w:rPr>
          <w:rFonts w:hint="eastAsia" w:ascii="宋体" w:hAnsi="宋体"/>
          <w:sz w:val="24"/>
        </w:rPr>
        <w:t>_________________</w:t>
      </w:r>
    </w:p>
    <w:p w14:paraId="3B245A8B">
      <w:pPr>
        <w:spacing w:line="150" w:lineRule="exact"/>
      </w:pPr>
    </w:p>
    <w:tbl>
      <w:tblPr>
        <w:tblStyle w:val="6"/>
        <w:tblW w:w="100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4"/>
      </w:tblGrid>
      <w:tr w14:paraId="6F19A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557" w:hRule="atLeast"/>
        </w:trPr>
        <w:tc>
          <w:tcPr>
            <w:tcW w:w="10014" w:type="dxa"/>
            <w:vAlign w:val="top"/>
          </w:tcPr>
          <w:p w14:paraId="0AE1D431">
            <w:pPr>
              <w:pStyle w:val="7"/>
              <w:spacing w:before="15" w:line="215" w:lineRule="auto"/>
              <w:ind w:left="117" w:right="30" w:firstLine="1"/>
            </w:pPr>
            <w:r>
              <w:rPr>
                <w:rFonts w:hint="eastAsia"/>
                <w:b/>
                <w:bCs/>
                <w:spacing w:val="17"/>
              </w:rPr>
              <w:t>※请填写以上信息后连同质控品交给各检测专业组，请注意质控品保存条件。请务必注意上报截止时间，届时上报窗口将自动关闭！</w:t>
            </w:r>
            <w:r>
              <w:rPr>
                <w:b/>
                <w:bCs/>
                <w:spacing w:val="17"/>
              </w:rPr>
              <w:t>室间质评标本应与常规标本放在一起做，当作病人的标本同样对待。实验室中所有的技术人员都应</w:t>
            </w:r>
            <w:r>
              <w:rPr>
                <w:b/>
                <w:bCs/>
                <w:spacing w:val="8"/>
              </w:rPr>
              <w:t>参加，与各实验室做病人标本使用同样方法、步骤操作</w:t>
            </w:r>
            <w:r>
              <w:rPr>
                <w:b/>
                <w:bCs/>
                <w:spacing w:val="7"/>
              </w:rPr>
              <w:t>，</w:t>
            </w:r>
            <w:r>
              <w:rPr>
                <w:spacing w:val="2"/>
              </w:rPr>
              <w:t xml:space="preserve">  </w:t>
            </w:r>
            <w:r>
              <w:rPr>
                <w:b/>
                <w:bCs/>
                <w:spacing w:val="7"/>
              </w:rPr>
              <w:t>并报告结果。</w:t>
            </w:r>
          </w:p>
        </w:tc>
      </w:tr>
    </w:tbl>
    <w:p w14:paraId="4F1D47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6" w:after="120" w:line="288" w:lineRule="auto"/>
        <w:ind w:left="0" w:right="437" w:firstLine="0"/>
        <w:textAlignment w:val="baseline"/>
        <w:rPr>
          <w:b/>
          <w:bCs/>
          <w:spacing w:val="2"/>
          <w:sz w:val="24"/>
          <w:szCs w:val="24"/>
        </w:rPr>
      </w:pPr>
      <w:r>
        <w:rPr>
          <w:b/>
          <w:bCs/>
          <w:sz w:val="24"/>
          <w:szCs w:val="24"/>
          <w:shd w:val="clear" w:fill="D9D9D9"/>
        </w:rPr>
        <w:t>寄邮包内容：</w:t>
      </w:r>
      <w:r>
        <w:rPr>
          <w:sz w:val="24"/>
          <w:szCs w:val="24"/>
        </w:rPr>
        <w:t>质控标本用顺丰快递方式送到各实验室。内容包括</w:t>
      </w:r>
      <w:r>
        <w:rPr>
          <w:rFonts w:hint="eastAsia"/>
          <w:spacing w:val="-1"/>
          <w:sz w:val="24"/>
          <w:szCs w:val="24"/>
          <w:lang w:val="en-US" w:eastAsia="zh-CN"/>
        </w:rPr>
        <w:t>5</w:t>
      </w:r>
      <w:r>
        <w:rPr>
          <w:spacing w:val="-1"/>
          <w:sz w:val="24"/>
          <w:szCs w:val="24"/>
        </w:rPr>
        <w:t>支冷冻干燥标本及</w:t>
      </w:r>
      <w:r>
        <w:rPr>
          <w:rFonts w:hint="eastAsia"/>
          <w:spacing w:val="-1"/>
          <w:sz w:val="24"/>
          <w:szCs w:val="24"/>
          <w:lang w:val="en-US" w:eastAsia="zh-CN"/>
        </w:rPr>
        <w:t>5</w:t>
      </w:r>
      <w:r>
        <w:rPr>
          <w:spacing w:val="-1"/>
          <w:sz w:val="24"/>
          <w:szCs w:val="24"/>
        </w:rPr>
        <w:t>支溶解液（棕色瓶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,无标签）。</w:t>
      </w:r>
      <w:r>
        <w:rPr>
          <w:b/>
          <w:bCs/>
          <w:spacing w:val="2"/>
          <w:sz w:val="24"/>
          <w:szCs w:val="24"/>
        </w:rPr>
        <w:t>注意：每个盒子中溶解液不能混用！</w:t>
      </w:r>
    </w:p>
    <w:p w14:paraId="6FE2F7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/>
        <w:ind w:left="0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shd w:val="clear" w:fill="D9D9D9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shd w:val="clear" w:fill="D9D9D9"/>
          <w:lang w:val="en-US" w:eastAsia="en-US" w:bidi="ar-SA"/>
        </w:rPr>
        <w:t>测定结果记录表：</w:t>
      </w:r>
    </w:p>
    <w:p w14:paraId="712EA464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 w:line="240" w:lineRule="exact"/>
        <w:ind w:left="420" w:leftChars="0" w:hanging="284" w:firstLineChars="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以下为年度活动</w:t>
      </w:r>
      <w:r>
        <w:rPr>
          <w:rFonts w:ascii="宋体" w:hAnsi="宋体"/>
          <w:b/>
          <w:sz w:val="24"/>
          <w:szCs w:val="24"/>
        </w:rPr>
        <w:t>通用批号</w:t>
      </w:r>
      <w:r>
        <w:rPr>
          <w:rFonts w:ascii="宋体" w:hAnsi="宋体"/>
          <w:sz w:val="24"/>
          <w:szCs w:val="24"/>
        </w:rPr>
        <w:t>记录表，原则上每批次活动按照样本编号从小到大上报。</w:t>
      </w:r>
    </w:p>
    <w:p w14:paraId="25658B96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 w:line="240" w:lineRule="exact"/>
        <w:ind w:left="420" w:leftChars="0" w:hanging="284" w:firstLineChars="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请注意考核项目及</w:t>
      </w:r>
      <w:r>
        <w:rPr>
          <w:rFonts w:hint="eastAsia" w:ascii="宋体" w:hAnsi="宋体"/>
          <w:b/>
          <w:sz w:val="24"/>
          <w:szCs w:val="24"/>
        </w:rPr>
        <w:t>计量单位</w:t>
      </w:r>
      <w:r>
        <w:rPr>
          <w:rFonts w:hint="eastAsia" w:ascii="宋体" w:hAnsi="宋体"/>
          <w:sz w:val="24"/>
          <w:szCs w:val="24"/>
        </w:rPr>
        <w:t>，质控品使用方法见随质控品说明书（如有）或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"http://www.ahccl.cn/EAQ/index.aspx" </w:instrText>
      </w:r>
      <w:r>
        <w:rPr>
          <w:sz w:val="24"/>
          <w:szCs w:val="24"/>
        </w:rPr>
        <w:fldChar w:fldCharType="separate"/>
      </w:r>
      <w:r>
        <w:rPr>
          <w:rStyle w:val="5"/>
          <w:rFonts w:ascii="宋体" w:hAnsi="宋体"/>
          <w:sz w:val="24"/>
          <w:szCs w:val="24"/>
        </w:rPr>
        <w:t>http://www.ahccl.cn/EAQ/index.aspx</w:t>
      </w:r>
      <w:r>
        <w:rPr>
          <w:rStyle w:val="5"/>
          <w:rFonts w:ascii="宋体" w:hAnsi="宋体"/>
          <w:sz w:val="24"/>
          <w:szCs w:val="24"/>
        </w:rPr>
        <w:fldChar w:fldCharType="end"/>
      </w:r>
      <w:r>
        <w:rPr>
          <w:rStyle w:val="5"/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备注栏。</w:t>
      </w:r>
    </w:p>
    <w:p w14:paraId="631F05CA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 w:line="240" w:lineRule="exact"/>
        <w:ind w:left="420" w:leftChars="0" w:hanging="284" w:firstLineChars="0"/>
        <w:jc w:val="left"/>
        <w:textAlignment w:val="baseline"/>
        <w:rPr>
          <w:b/>
          <w:bCs/>
          <w:spacing w:val="2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请核实Clinet上报系统内</w:t>
      </w:r>
      <w:r>
        <w:rPr>
          <w:rFonts w:hint="eastAsia" w:ascii="宋体" w:hAnsi="宋体"/>
          <w:b/>
          <w:sz w:val="24"/>
          <w:szCs w:val="24"/>
        </w:rPr>
        <w:t>继承</w:t>
      </w:r>
      <w:r>
        <w:rPr>
          <w:rFonts w:hint="eastAsia" w:ascii="宋体" w:hAnsi="宋体"/>
          <w:sz w:val="24"/>
          <w:szCs w:val="24"/>
        </w:rPr>
        <w:t>的方法、仪器、试剂、校准物是否正确，否则影响评价。</w:t>
      </w:r>
    </w:p>
    <w:p w14:paraId="391C31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 w:line="44" w:lineRule="exact"/>
        <w:ind w:left="0"/>
        <w:textAlignment w:val="baseline"/>
        <w:rPr>
          <w:sz w:val="24"/>
          <w:szCs w:val="24"/>
        </w:rPr>
      </w:pPr>
    </w:p>
    <w:tbl>
      <w:tblPr>
        <w:tblStyle w:val="3"/>
        <w:tblW w:w="1015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518"/>
        <w:gridCol w:w="1416"/>
        <w:gridCol w:w="1416"/>
        <w:gridCol w:w="1416"/>
        <w:gridCol w:w="1416"/>
        <w:gridCol w:w="1416"/>
        <w:gridCol w:w="510"/>
        <w:gridCol w:w="510"/>
        <w:gridCol w:w="510"/>
        <w:gridCol w:w="510"/>
      </w:tblGrid>
      <w:tr w14:paraId="3DA80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B02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50A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683AC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57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3A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71D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F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A78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284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52AE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B1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D1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BFF67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041FA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2E75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760DC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F7BD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0105</w:t>
            </w: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C1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5C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C3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EC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52A7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1A2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90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8956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5A39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F7354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687DD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53D49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8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7EB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DFA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22B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31B5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DDC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真菌感染G试验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07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D2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56C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2CC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AD3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6B2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0E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D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64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C17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/>
              <w:ind w:left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DF47F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 w:line="293" w:lineRule="auto"/>
        <w:ind w:left="0"/>
        <w:textAlignment w:val="baseline"/>
        <w:rPr>
          <w:rFonts w:ascii="Arial"/>
          <w:sz w:val="24"/>
          <w:szCs w:val="24"/>
        </w:rPr>
      </w:pPr>
      <w:bookmarkStart w:id="0" w:name="_GoBack"/>
      <w:bookmarkEnd w:id="0"/>
    </w:p>
    <w:p w14:paraId="21FE9C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after="120" w:line="220" w:lineRule="auto"/>
        <w:ind w:left="0"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  <w:shd w:val="clear" w:fill="D9D9D9"/>
        </w:rPr>
        <w:t>标本贮存说明：</w:t>
      </w:r>
      <w:r>
        <w:rPr>
          <w:sz w:val="24"/>
          <w:szCs w:val="24"/>
        </w:rPr>
        <w:t>接到标本后请保存于4℃冰箱，待测</w:t>
      </w:r>
      <w:r>
        <w:rPr>
          <w:spacing w:val="-1"/>
          <w:sz w:val="24"/>
          <w:szCs w:val="24"/>
        </w:rPr>
        <w:t>定日期取出并恢复室温，见标本操作说明。</w:t>
      </w:r>
    </w:p>
    <w:p w14:paraId="5F4FFC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6" w:after="120" w:line="289" w:lineRule="auto"/>
        <w:ind w:left="0" w:right="258" w:firstLine="3"/>
        <w:textAlignment w:val="baseline"/>
        <w:rPr>
          <w:rFonts w:ascii="Arial"/>
          <w:sz w:val="21"/>
        </w:rPr>
      </w:pPr>
      <w:r>
        <w:rPr>
          <w:b/>
          <w:bCs/>
          <w:spacing w:val="3"/>
          <w:sz w:val="24"/>
          <w:szCs w:val="24"/>
          <w:shd w:val="clear" w:fill="D9D9D9"/>
        </w:rPr>
        <w:t>标本操作说明：</w:t>
      </w:r>
      <w:r>
        <w:rPr>
          <w:spacing w:val="3"/>
          <w:sz w:val="24"/>
          <w:szCs w:val="24"/>
        </w:rPr>
        <w:t>溶解冻干标本时，先小心打开瓶塞（注意瓶塞不能沾到桌子及其他物体</w:t>
      </w:r>
      <w:r>
        <w:rPr>
          <w:spacing w:val="10"/>
          <w:sz w:val="24"/>
          <w:szCs w:val="24"/>
        </w:rPr>
        <w:t>），</w:t>
      </w:r>
      <w:r>
        <w:rPr>
          <w:spacing w:val="3"/>
          <w:sz w:val="24"/>
          <w:szCs w:val="24"/>
        </w:rPr>
        <w:t>然后使用移液</w:t>
      </w:r>
      <w:r>
        <w:rPr>
          <w:spacing w:val="4"/>
          <w:sz w:val="24"/>
          <w:szCs w:val="24"/>
        </w:rPr>
        <w:t>器用无热原吸头吸取1.3</w:t>
      </w:r>
      <w:r>
        <w:rPr>
          <w:sz w:val="24"/>
          <w:szCs w:val="24"/>
        </w:rPr>
        <w:t>mL</w:t>
      </w:r>
      <w:r>
        <w:rPr>
          <w:spacing w:val="4"/>
          <w:sz w:val="24"/>
          <w:szCs w:val="24"/>
        </w:rPr>
        <w:t>标本溶解液到冻干标本瓶中，小心盖好瓶塞，注</w:t>
      </w:r>
      <w:r>
        <w:rPr>
          <w:spacing w:val="3"/>
          <w:sz w:val="24"/>
          <w:szCs w:val="24"/>
        </w:rPr>
        <w:t>意不要污染。然后将溶解后的</w:t>
      </w:r>
      <w:r>
        <w:rPr>
          <w:spacing w:val="4"/>
          <w:sz w:val="24"/>
          <w:szCs w:val="24"/>
        </w:rPr>
        <w:t>液体标本在漩涡混合仪上震荡30S，轻轻打开盖子，按照实验室操作流</w:t>
      </w:r>
      <w:r>
        <w:rPr>
          <w:spacing w:val="3"/>
          <w:sz w:val="24"/>
          <w:szCs w:val="24"/>
        </w:rPr>
        <w:t>程进行试验。</w:t>
      </w:r>
      <w:r>
        <w:rPr>
          <w:b/>
          <w:bCs/>
          <w:spacing w:val="3"/>
          <w:sz w:val="24"/>
          <w:szCs w:val="24"/>
        </w:rPr>
        <w:t>*</w:t>
      </w:r>
      <w:r>
        <w:rPr>
          <w:spacing w:val="3"/>
          <w:sz w:val="24"/>
          <w:szCs w:val="24"/>
        </w:rPr>
        <w:t>样本溶解后需要在2h内进行测试，溶解后超过1h需要再进行检测时需要再次震荡30S。</w:t>
      </w:r>
      <w:r>
        <w:rPr>
          <w:b/>
          <w:bCs/>
          <w:spacing w:val="3"/>
          <w:sz w:val="24"/>
          <w:szCs w:val="24"/>
        </w:rPr>
        <w:t>为防止10</w:t>
      </w:r>
      <w:r>
        <w:rPr>
          <w:b/>
          <w:bCs/>
          <w:spacing w:val="2"/>
          <w:sz w:val="24"/>
          <w:szCs w:val="24"/>
        </w:rPr>
        <w:t>份标本同时开盖造成干粉交</w:t>
      </w:r>
      <w:r>
        <w:rPr>
          <w:b/>
          <w:bCs/>
          <w:spacing w:val="-2"/>
          <w:sz w:val="24"/>
          <w:szCs w:val="24"/>
        </w:rPr>
        <w:t>叉污染，建议每个标本按以上要求分别操作。注意，必须使用无热原吸头</w:t>
      </w:r>
      <w:r>
        <w:rPr>
          <w:b/>
          <w:bCs/>
          <w:spacing w:val="-3"/>
          <w:sz w:val="24"/>
          <w:szCs w:val="24"/>
        </w:rPr>
        <w:t>及配套耗材</w:t>
      </w:r>
      <w:r>
        <w:rPr>
          <w:spacing w:val="-3"/>
          <w:sz w:val="24"/>
          <w:szCs w:val="24"/>
        </w:rPr>
        <w:t>。</w:t>
      </w:r>
    </w:p>
    <w:p w14:paraId="03B6FA16">
      <w:pPr>
        <w:spacing w:line="264" w:lineRule="auto"/>
        <w:rPr>
          <w:rFonts w:ascii="Arial"/>
          <w:sz w:val="21"/>
        </w:rPr>
      </w:pPr>
    </w:p>
    <w:p w14:paraId="2842734A">
      <w:pPr>
        <w:spacing w:line="264" w:lineRule="auto"/>
        <w:rPr>
          <w:rFonts w:ascii="Arial"/>
          <w:sz w:val="21"/>
        </w:rPr>
      </w:pPr>
    </w:p>
    <w:p w14:paraId="24ED921F">
      <w:pPr>
        <w:spacing w:before="52" w:line="235" w:lineRule="auto"/>
        <w:ind w:left="516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1</w:t>
      </w:r>
    </w:p>
    <w:sectPr>
      <w:headerReference r:id="rId5" w:type="default"/>
      <w:pgSz w:w="11912" w:h="16841"/>
      <w:pgMar w:top="400" w:right="663" w:bottom="0" w:left="9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E9822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tabs>
          <w:tab w:val="left" w:pos="42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42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42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4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42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2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A8004B"/>
    <w:rsid w:val="5AAD0254"/>
    <w:rsid w:val="6E497A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1179</Words>
  <Characters>1345</Characters>
  <TotalTime>0</TotalTime>
  <ScaleCrop>false</ScaleCrop>
  <LinksUpToDate>false</LinksUpToDate>
  <CharactersWithSpaces>1413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2026-01-07T08:22:00Z</dcterms:created>
  <dc:creator>hujh</dc:creator>
  <cp:lastModifiedBy>比较笨的大笨钟</cp:lastModifiedBy>
  <dcterms:modified xsi:type="dcterms:W3CDTF">2026-08-17T10:56:15Z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2026-08-17T17:30:55Z</vt:filetime>
  </property>
  <property fmtid="{D5CDD505-2E9C-101B-9397-08002B2CF9AE}" pid="4" name="KSOTemplateDocerSaveRecord">
    <vt:lpwstr>eyJoZGlkIjoiMTcxMDdkYmU1YWVhNzdkYzJlODQ2NDJkZmJjMGE4NzkiLCJ1c2VySWQiOiIyNjE2ODMyMzkifQ==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271171DCE38A4FB78751E6C043B4DC73_13</vt:lpwstr>
  </property>
</Properties>
</file>