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C0181">
      <w:pPr>
        <w:spacing w:after="480"/>
        <w:jc w:val="center"/>
        <w:rPr>
          <w:rFonts w:ascii="宋体" w:hAnsi="宋体"/>
          <w:b/>
          <w:sz w:val="40"/>
        </w:rPr>
      </w:pPr>
      <w:r>
        <w:rPr>
          <w:rFonts w:hint="eastAsia" w:ascii="宋体" w:hAnsi="宋体"/>
          <w:b/>
          <w:sz w:val="40"/>
        </w:rPr>
        <w:t>AHCCL-AE-</w:t>
      </w:r>
      <w:r>
        <w:rPr>
          <w:rFonts w:ascii="宋体" w:hAnsi="宋体"/>
          <w:b/>
          <w:sz w:val="40"/>
        </w:rPr>
        <w:t>30</w:t>
      </w:r>
      <w:r>
        <w:rPr>
          <w:rFonts w:hint="eastAsia" w:ascii="宋体" w:hAnsi="宋体"/>
          <w:b/>
          <w:sz w:val="40"/>
        </w:rPr>
        <w:t>抗酸染色涂片（镜检）EQA计划书</w:t>
      </w:r>
    </w:p>
    <w:p w14:paraId="67E2BDAD">
      <w:pPr>
        <w:spacing w:after="12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活动批次：</w:t>
      </w:r>
      <w:r>
        <w:rPr>
          <w:rFonts w:hint="eastAsia" w:ascii="宋体" w:hAnsi="宋体"/>
          <w:sz w:val="24"/>
          <w:lang w:val="en-US" w:eastAsia="zh-CN"/>
        </w:rPr>
        <w:t>__</w:t>
      </w:r>
      <w:r>
        <w:rPr>
          <w:rFonts w:hint="eastAsia" w:ascii="宋体" w:hAnsi="宋体"/>
          <w:sz w:val="24"/>
        </w:rPr>
        <w:t>_</w:t>
      </w:r>
      <w:r>
        <w:rPr>
          <w:rFonts w:hint="eastAsia" w:ascii="宋体" w:hAnsi="宋体"/>
          <w:sz w:val="24"/>
          <w:lang w:val="en-US" w:eastAsia="zh-CN"/>
        </w:rPr>
        <w:t>2026年02次</w:t>
      </w:r>
      <w:r>
        <w:rPr>
          <w:rFonts w:hint="eastAsia" w:ascii="宋体" w:hAnsi="宋体"/>
          <w:sz w:val="24"/>
        </w:rPr>
        <w:t>__上报截止时间：_____</w:t>
      </w:r>
      <w:r>
        <w:rPr>
          <w:rFonts w:hint="eastAsia" w:ascii="宋体" w:hAnsi="宋体"/>
          <w:sz w:val="24"/>
          <w:lang w:val="en-US" w:eastAsia="zh-CN"/>
        </w:rPr>
        <w:t>2026.10.26</w:t>
      </w:r>
      <w:r>
        <w:rPr>
          <w:rFonts w:hint="eastAsia" w:ascii="宋体" w:hAnsi="宋体"/>
          <w:sz w:val="24"/>
        </w:rPr>
        <w:t>_______________</w:t>
      </w:r>
    </w:p>
    <w:p w14:paraId="009393F5">
      <w:pPr>
        <w:spacing w:after="12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※</w:t>
      </w:r>
      <w:r>
        <w:rPr>
          <w:rFonts w:hint="eastAsia" w:ascii="宋体" w:hAnsi="宋体"/>
          <w:sz w:val="24"/>
        </w:rPr>
        <w:t>请填写以上信息后连同质控品交给各检测专业组，请注意质控品保存条件。请务必注意上报截止时间，</w:t>
      </w:r>
      <w:r>
        <w:rPr>
          <w:rFonts w:ascii="宋体" w:hAnsi="宋体"/>
          <w:sz w:val="24"/>
        </w:rPr>
        <w:t>届时上报窗口将自动关闭！</w:t>
      </w:r>
    </w:p>
    <w:p w14:paraId="389FC604">
      <w:pPr>
        <w:pStyle w:val="2"/>
        <w:spacing w:before="0" w:beforeAutospacing="0" w:after="0" w:afterAutospacing="0"/>
        <w:jc w:val="center"/>
        <w:rPr>
          <w:sz w:val="24"/>
        </w:rPr>
      </w:pPr>
      <w:r>
        <w:rPr>
          <w:rFonts w:hint="eastAsia" w:ascii="微软雅黑" w:hAnsi="微软雅黑" w:eastAsia="微软雅黑"/>
          <w:color w:val="333333"/>
          <w:sz w:val="15"/>
        </w:rPr>
        <w:t>══════</w:t>
      </w:r>
      <w:r>
        <w:rPr>
          <w:rStyle w:val="11"/>
          <w:rFonts w:hint="eastAsia" w:ascii="微软雅黑" w:hAnsi="微软雅黑" w:eastAsia="微软雅黑"/>
          <w:b w:val="0"/>
          <w:bCs w:val="0"/>
          <w:color w:val="333333"/>
          <w:sz w:val="15"/>
          <w:szCs w:val="36"/>
        </w:rPr>
        <w:t>═════════════════════════════════════════════════════════════</w:t>
      </w:r>
    </w:p>
    <w:p w14:paraId="647C6124">
      <w:pPr>
        <w:spacing w:after="12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测定结果记录表：</w:t>
      </w:r>
    </w:p>
    <w:p w14:paraId="12A797A5">
      <w:pPr>
        <w:pStyle w:val="12"/>
        <w:numPr>
          <w:ilvl w:val="0"/>
          <w:numId w:val="1"/>
        </w:numPr>
        <w:spacing w:after="120" w:line="240" w:lineRule="exact"/>
        <w:ind w:left="284" w:hanging="284" w:firstLineChars="0"/>
        <w:jc w:val="left"/>
        <w:rPr>
          <w:rFonts w:ascii="宋体" w:hAnsi="宋体"/>
          <w:sz w:val="20"/>
        </w:rPr>
      </w:pPr>
      <w:r>
        <w:rPr>
          <w:rFonts w:ascii="宋体" w:hAnsi="宋体"/>
          <w:sz w:val="20"/>
        </w:rPr>
        <w:t>以下为年度活动</w:t>
      </w:r>
      <w:r>
        <w:rPr>
          <w:rFonts w:ascii="宋体" w:hAnsi="宋体"/>
          <w:b/>
          <w:sz w:val="20"/>
        </w:rPr>
        <w:t>通用批号</w:t>
      </w:r>
      <w:r>
        <w:rPr>
          <w:rFonts w:ascii="宋体" w:hAnsi="宋体"/>
          <w:sz w:val="20"/>
        </w:rPr>
        <w:t>记录表，原则上每批次活动按照样本编号从小到大上报。</w:t>
      </w:r>
    </w:p>
    <w:p w14:paraId="42714831">
      <w:pPr>
        <w:pStyle w:val="12"/>
        <w:numPr>
          <w:ilvl w:val="0"/>
          <w:numId w:val="1"/>
        </w:numPr>
        <w:spacing w:after="120" w:line="240" w:lineRule="exact"/>
        <w:ind w:left="284" w:hanging="284" w:firstLineChars="0"/>
        <w:jc w:val="left"/>
        <w:rPr>
          <w:rFonts w:ascii="宋体" w:hAnsi="宋体"/>
          <w:sz w:val="20"/>
        </w:rPr>
      </w:pPr>
      <w:r>
        <w:rPr>
          <w:rFonts w:hint="eastAsia" w:ascii="宋体" w:hAnsi="宋体"/>
          <w:sz w:val="20"/>
        </w:rPr>
        <w:t>请注意考核项目及</w:t>
      </w:r>
      <w:r>
        <w:rPr>
          <w:rFonts w:hint="eastAsia" w:ascii="宋体" w:hAnsi="宋体"/>
          <w:b/>
          <w:sz w:val="20"/>
        </w:rPr>
        <w:t>计量单位</w:t>
      </w:r>
      <w:r>
        <w:rPr>
          <w:rFonts w:hint="eastAsia" w:ascii="宋体" w:hAnsi="宋体"/>
          <w:sz w:val="20"/>
        </w:rPr>
        <w:t>，质控品使用方法见随质控品说明书（如有）或</w:t>
      </w:r>
      <w:r>
        <w:fldChar w:fldCharType="begin"/>
      </w:r>
      <w:r>
        <w:instrText xml:space="preserve"> HYPERLINK "http://www.ahccl.cn/EAQ/index.aspx" </w:instrText>
      </w:r>
      <w:r>
        <w:fldChar w:fldCharType="separate"/>
      </w:r>
      <w:r>
        <w:rPr>
          <w:rStyle w:val="7"/>
          <w:rFonts w:ascii="宋体" w:hAnsi="宋体"/>
          <w:sz w:val="20"/>
        </w:rPr>
        <w:t>http://www.ahccl.cn/EAQ/index.aspx</w:t>
      </w:r>
      <w:r>
        <w:rPr>
          <w:rStyle w:val="7"/>
          <w:rFonts w:ascii="宋体" w:hAnsi="宋体"/>
          <w:sz w:val="20"/>
        </w:rPr>
        <w:fldChar w:fldCharType="end"/>
      </w:r>
      <w:r>
        <w:rPr>
          <w:rFonts w:hint="eastAsia" w:ascii="宋体" w:hAnsi="宋体"/>
          <w:sz w:val="20"/>
        </w:rPr>
        <w:t>备注栏。</w:t>
      </w:r>
    </w:p>
    <w:p w14:paraId="0EEB62EF">
      <w:pPr>
        <w:pStyle w:val="12"/>
        <w:numPr>
          <w:ilvl w:val="0"/>
          <w:numId w:val="1"/>
        </w:numPr>
        <w:spacing w:after="120" w:line="240" w:lineRule="exact"/>
        <w:ind w:left="284" w:hanging="284" w:firstLineChars="0"/>
        <w:jc w:val="left"/>
        <w:rPr>
          <w:rFonts w:ascii="宋体" w:hAnsi="宋体"/>
          <w:b/>
          <w:sz w:val="20"/>
        </w:rPr>
      </w:pPr>
      <w:r>
        <w:rPr>
          <w:rFonts w:hint="eastAsia" w:ascii="宋体" w:hAnsi="宋体"/>
          <w:sz w:val="20"/>
        </w:rPr>
        <w:t>请核实Clinet上报系统内</w:t>
      </w:r>
      <w:r>
        <w:rPr>
          <w:rFonts w:hint="eastAsia" w:ascii="宋体" w:hAnsi="宋体"/>
          <w:b/>
          <w:sz w:val="20"/>
        </w:rPr>
        <w:t>继承</w:t>
      </w:r>
      <w:r>
        <w:rPr>
          <w:rFonts w:hint="eastAsia" w:ascii="宋体" w:hAnsi="宋体"/>
          <w:sz w:val="20"/>
        </w:rPr>
        <w:t>的方法、仪器、试剂、校准物是否正确，否则影响评价。</w:t>
      </w:r>
    </w:p>
    <w:p w14:paraId="671DBC31">
      <w:pPr>
        <w:spacing w:after="120"/>
        <w:jc w:val="left"/>
        <w:rPr>
          <w:rFonts w:ascii="宋体" w:hAnsi="宋体"/>
          <w:b/>
          <w:sz w:val="24"/>
        </w:rPr>
      </w:pPr>
    </w:p>
    <w:tbl>
      <w:tblPr>
        <w:tblStyle w:val="5"/>
        <w:tblW w:w="1333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</w:tblGrid>
      <w:tr w14:paraId="73D57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0F99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1225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4EAE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结果（在线选取）</w:t>
            </w:r>
          </w:p>
        </w:tc>
      </w:tr>
      <w:tr w14:paraId="61717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911506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noWrap/>
            <w:vAlign w:val="center"/>
          </w:tcPr>
          <w:p w14:paraId="38E072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001-0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40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631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40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noWrap/>
            <w:vAlign w:val="center"/>
          </w:tcPr>
          <w:p w14:paraId="5812B9D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202602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50</w:t>
            </w:r>
          </w:p>
        </w:tc>
      </w:tr>
      <w:tr w14:paraId="02EDD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C56E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7DCF094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0AA4B4F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01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6BBEB05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0D808A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5ECB52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47C26A7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03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0DA03B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1EA8607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04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564781D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243187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05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18CDDDE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6444179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06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075B31B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0E11EA9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07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32F399B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1184893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08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62151A5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3D55788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09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 w14:paraId="076719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3008194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12CF1F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32A80D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373D974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0FA1B88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12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3446436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652A0EE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13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4A36708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599F865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EECE1"/>
            <w:vAlign w:val="center"/>
          </w:tcPr>
          <w:p w14:paraId="0CAF054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687F9E6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15</w:t>
            </w:r>
          </w:p>
        </w:tc>
      </w:tr>
      <w:tr w14:paraId="7BC26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312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抗酸</w:t>
            </w:r>
          </w:p>
          <w:p w14:paraId="230D9D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染色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682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748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E3C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DCB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949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3F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E85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3D2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FD6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B00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0C8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A7F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18E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777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796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47EED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158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0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  <w:noWrap/>
            <w:vAlign w:val="center"/>
          </w:tcPr>
          <w:p w14:paraId="0BD57FA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202602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200</w:t>
            </w:r>
          </w:p>
        </w:tc>
        <w:tc>
          <w:tcPr>
            <w:tcW w:w="40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658C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202602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20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50</w:t>
            </w:r>
          </w:p>
        </w:tc>
        <w:tc>
          <w:tcPr>
            <w:tcW w:w="40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21F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30F4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C5B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抗酸</w:t>
            </w:r>
          </w:p>
          <w:p w14:paraId="52BF4E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染色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  <w:noWrap/>
            <w:vAlign w:val="center"/>
          </w:tcPr>
          <w:p w14:paraId="5AD7A8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102960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6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  <w:noWrap/>
            <w:vAlign w:val="center"/>
          </w:tcPr>
          <w:p w14:paraId="4B926ED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1E6860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7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  <w:noWrap/>
            <w:vAlign w:val="center"/>
          </w:tcPr>
          <w:p w14:paraId="6A8CAA4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253A9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8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  <w:noWrap/>
            <w:vAlign w:val="center"/>
          </w:tcPr>
          <w:p w14:paraId="32A648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536431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9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  <w:noWrap/>
            <w:vAlign w:val="center"/>
          </w:tcPr>
          <w:p w14:paraId="2F502DD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45CA61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20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87C7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00045E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21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0E1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42A596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22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E7B5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6579DF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23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01FF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0F828E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24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8E0A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0</w:t>
            </w:r>
          </w:p>
          <w:p w14:paraId="1EA284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  <w:t>25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454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FB8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329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FCD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901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E34D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000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957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092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459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D5D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7D4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2DD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F78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68D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CED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AD9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897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B4C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127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61E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2EC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7E0E1817">
      <w:pPr>
        <w:spacing w:line="26" w:lineRule="atLeast"/>
        <w:ind w:firstLine="241" w:firstLineChars="100"/>
        <w:jc w:val="left"/>
        <w:rPr>
          <w:rFonts w:eastAsia="楷体"/>
          <w:b/>
          <w:sz w:val="24"/>
          <w:szCs w:val="24"/>
        </w:rPr>
      </w:pPr>
    </w:p>
    <w:p w14:paraId="4B9D31FE">
      <w:pPr>
        <w:spacing w:line="26" w:lineRule="atLeast"/>
        <w:ind w:firstLine="241" w:firstLineChars="100"/>
        <w:jc w:val="left"/>
        <w:rPr>
          <w:rFonts w:eastAsia="楷体"/>
          <w:b/>
          <w:sz w:val="24"/>
          <w:szCs w:val="24"/>
        </w:rPr>
      </w:pPr>
      <w:r>
        <w:rPr>
          <w:rFonts w:hint="eastAsia" w:eastAsia="楷体"/>
          <w:b/>
          <w:sz w:val="24"/>
          <w:szCs w:val="24"/>
        </w:rPr>
        <w:t>注：一、</w:t>
      </w:r>
      <w:r>
        <w:rPr>
          <w:rFonts w:eastAsia="楷体"/>
          <w:b/>
          <w:sz w:val="24"/>
          <w:szCs w:val="24"/>
        </w:rPr>
        <w:t>使用方法</w:t>
      </w:r>
    </w:p>
    <w:p w14:paraId="6893CB0B">
      <w:pPr>
        <w:spacing w:line="26" w:lineRule="atLeast"/>
        <w:ind w:firstLine="480" w:firstLineChars="200"/>
        <w:jc w:val="left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t>1、</w:t>
      </w:r>
      <w:r>
        <w:rPr>
          <w:rFonts w:hint="eastAsia" w:eastAsia="楷体"/>
          <w:sz w:val="24"/>
          <w:szCs w:val="24"/>
        </w:rPr>
        <w:t>染色前，每</w:t>
      </w:r>
      <w:r>
        <w:rPr>
          <w:rFonts w:eastAsia="楷体"/>
          <w:sz w:val="24"/>
          <w:szCs w:val="24"/>
        </w:rPr>
        <w:t>张涂片</w:t>
      </w:r>
      <w:r>
        <w:rPr>
          <w:rFonts w:hint="eastAsia" w:eastAsia="楷体"/>
          <w:sz w:val="24"/>
          <w:szCs w:val="24"/>
        </w:rPr>
        <w:t>需</w:t>
      </w:r>
      <w:r>
        <w:rPr>
          <w:rFonts w:eastAsia="楷体"/>
          <w:color w:val="000000"/>
          <w:sz w:val="24"/>
          <w:szCs w:val="24"/>
        </w:rPr>
        <w:t>加热固定（5秒内将</w:t>
      </w:r>
      <w:r>
        <w:rPr>
          <w:rFonts w:hint="eastAsia" w:eastAsia="楷体"/>
          <w:color w:val="000000"/>
          <w:sz w:val="24"/>
          <w:szCs w:val="24"/>
        </w:rPr>
        <w:t>涂</w:t>
      </w:r>
      <w:r>
        <w:rPr>
          <w:rFonts w:eastAsia="楷体"/>
          <w:color w:val="000000"/>
          <w:sz w:val="24"/>
          <w:szCs w:val="24"/>
        </w:rPr>
        <w:t>片来回过火焰4次）</w:t>
      </w:r>
      <w:r>
        <w:rPr>
          <w:rFonts w:hint="eastAsia" w:eastAsia="楷体"/>
          <w:color w:val="000000"/>
          <w:sz w:val="24"/>
          <w:szCs w:val="24"/>
        </w:rPr>
        <w:t>。</w:t>
      </w:r>
    </w:p>
    <w:p w14:paraId="08E142CF">
      <w:pPr>
        <w:spacing w:line="26" w:lineRule="atLeast"/>
        <w:jc w:val="left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t>　　2、按抗酸染色的标准要求准备好染色试剂、环境及个人防护。</w:t>
      </w:r>
    </w:p>
    <w:p w14:paraId="44CCC28F">
      <w:pPr>
        <w:spacing w:line="26" w:lineRule="atLeast"/>
        <w:jc w:val="left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t>　　3、严格按照抗酸染色（</w:t>
      </w:r>
      <w:r>
        <w:rPr>
          <w:rFonts w:hint="eastAsia" w:eastAsia="楷体"/>
          <w:sz w:val="24"/>
          <w:szCs w:val="24"/>
        </w:rPr>
        <w:t>萋尼染色</w:t>
      </w:r>
      <w:r>
        <w:rPr>
          <w:rFonts w:eastAsia="楷体"/>
          <w:sz w:val="24"/>
          <w:szCs w:val="24"/>
        </w:rPr>
        <w:t>或荧光染色）的流程操作。</w:t>
      </w:r>
    </w:p>
    <w:p w14:paraId="44BA0B05">
      <w:pPr>
        <w:spacing w:line="26" w:lineRule="atLeast"/>
        <w:ind w:firstLine="480"/>
        <w:jc w:val="left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t>4、</w:t>
      </w:r>
      <w:r>
        <w:rPr>
          <w:rFonts w:hint="eastAsia" w:eastAsia="楷体"/>
          <w:sz w:val="24"/>
          <w:szCs w:val="24"/>
        </w:rPr>
        <w:t>染色完成后，应及时镜检，判读结果</w:t>
      </w:r>
      <w:r>
        <w:rPr>
          <w:rFonts w:eastAsia="楷体"/>
          <w:sz w:val="24"/>
          <w:szCs w:val="24"/>
        </w:rPr>
        <w:t>。</w:t>
      </w:r>
    </w:p>
    <w:p w14:paraId="788E1BBE">
      <w:pPr>
        <w:spacing w:line="26" w:lineRule="atLeast"/>
        <w:ind w:firstLine="480"/>
        <w:jc w:val="left"/>
        <w:rPr>
          <w:rFonts w:eastAsia="楷体"/>
          <w:sz w:val="24"/>
          <w:szCs w:val="24"/>
        </w:rPr>
      </w:pPr>
    </w:p>
    <w:p w14:paraId="58A43F1F">
      <w:pPr>
        <w:spacing w:line="26" w:lineRule="atLeast"/>
        <w:ind w:firstLine="480"/>
        <w:jc w:val="left"/>
        <w:rPr>
          <w:rFonts w:eastAsia="楷体"/>
          <w:sz w:val="24"/>
          <w:szCs w:val="24"/>
        </w:rPr>
      </w:pPr>
    </w:p>
    <w:p w14:paraId="352C30C7">
      <w:pPr>
        <w:spacing w:line="26" w:lineRule="atLeast"/>
        <w:ind w:firstLine="480"/>
        <w:jc w:val="left"/>
        <w:rPr>
          <w:rFonts w:eastAsia="楷体"/>
          <w:sz w:val="24"/>
          <w:szCs w:val="24"/>
        </w:rPr>
      </w:pPr>
    </w:p>
    <w:p w14:paraId="7CD94086">
      <w:pPr>
        <w:spacing w:line="26" w:lineRule="atLeast"/>
        <w:ind w:firstLine="482" w:firstLineChars="200"/>
        <w:jc w:val="left"/>
        <w:rPr>
          <w:rFonts w:eastAsia="楷体"/>
          <w:sz w:val="24"/>
          <w:szCs w:val="24"/>
        </w:rPr>
      </w:pPr>
      <w:r>
        <w:rPr>
          <w:rFonts w:hint="eastAsia" w:eastAsia="楷体"/>
          <w:b/>
          <w:sz w:val="24"/>
          <w:szCs w:val="24"/>
        </w:rPr>
        <w:t>二、</w:t>
      </w:r>
      <w:r>
        <w:rPr>
          <w:rFonts w:eastAsia="楷体"/>
          <w:b/>
          <w:sz w:val="24"/>
          <w:szCs w:val="24"/>
        </w:rPr>
        <w:t>结果判读标准</w:t>
      </w:r>
    </w:p>
    <w:p w14:paraId="358D4C0B">
      <w:pPr>
        <w:numPr>
          <w:ilvl w:val="0"/>
          <w:numId w:val="2"/>
        </w:numPr>
        <w:spacing w:line="26" w:lineRule="atLeast"/>
        <w:ind w:firstLine="482" w:firstLineChars="200"/>
        <w:jc w:val="left"/>
        <w:rPr>
          <w:rFonts w:eastAsia="楷体"/>
          <w:b/>
          <w:sz w:val="24"/>
          <w:szCs w:val="24"/>
        </w:rPr>
      </w:pPr>
      <w:r>
        <w:rPr>
          <w:rFonts w:eastAsia="楷体"/>
          <w:b/>
          <w:sz w:val="24"/>
          <w:szCs w:val="24"/>
        </w:rPr>
        <w:t>萋尼染色镜检结果分级报告标准：</w:t>
      </w:r>
    </w:p>
    <w:p w14:paraId="76A382A3">
      <w:pPr>
        <w:pStyle w:val="12"/>
        <w:numPr>
          <w:ilvl w:val="0"/>
          <w:numId w:val="3"/>
        </w:numPr>
        <w:spacing w:line="26" w:lineRule="atLeast"/>
        <w:ind w:left="1260" w:leftChars="0" w:firstLineChars="0"/>
        <w:jc w:val="left"/>
        <w:rPr>
          <w:rFonts w:eastAsia="楷体"/>
          <w:bCs/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200660</wp:posOffset>
                </wp:positionV>
                <wp:extent cx="5335270" cy="1078230"/>
                <wp:effectExtent l="0" t="0" r="17780" b="7620"/>
                <wp:wrapNone/>
                <wp:docPr id="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5270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9952A5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抗酸杆菌阴性（—）：连续观察300个不同视野，未发现抗酸杆菌。</w:t>
                            </w:r>
                          </w:p>
                          <w:p w14:paraId="7004316C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抗酸杆菌阳性（1+）：3～9条/100视野，连续观察300个视野；</w:t>
                            </w:r>
                          </w:p>
                          <w:p w14:paraId="6BE8DFE3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抗酸杆菌阳性（2+）：1～9条/10视野，连续观察100个视野；</w:t>
                            </w:r>
                          </w:p>
                          <w:p w14:paraId="5FE1F7C8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抗酸杆菌阳性（3+）：1～9条/1视野；</w:t>
                            </w:r>
                          </w:p>
                          <w:p w14:paraId="7AEB9848">
                            <w:pPr>
                              <w:spacing w:line="26" w:lineRule="atLeast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抗酸杆菌阳性（4+）：≥10条/1视野。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7.5pt;margin-top:15.8pt;height:84.9pt;width:420.1pt;z-index:251659264;mso-width-relative:page;mso-height-relative:page;" fillcolor="#FFFFFF" filled="t" stroked="f" coordsize="21600,21600" o:gfxdata="UEsDBAoAAAAAAIdO4kAAAAAAAAAAAAAAAAAEAAAAZHJzL1BLAwQUAAAACACHTuJAO7pTyNcAAAAJ&#10;AQAADwAAAGRycy9kb3ducmV2LnhtbE2PwU7DMBBE70j8g7VIXBC1E5qEhmwqgQTi2tIPcOJtEhGv&#10;o9ht2r/HnOA4mtHMm2p7saM40+wHxwjJSoEgbp0ZuEM4fL0/PoPwQbPRo2NCuJKHbX17U+nSuIV3&#10;dN6HTsQS9qVG6EOYSil925PVfuUm4ugd3Wx1iHLupJn1EsvtKFOlcmn1wHGh1xO99dR+708W4fi5&#10;PGSbpfkIh2K3zl/1UDTuinh/l6gXEIEu4S8Mv/gRHerI1LgTGy9GhCKLVwLCU5KDiP4myVIQDUKq&#10;kjXIupL/H9Q/UEsDBBQAAAAIAIdO4kD+YErZwwEAAHkDAAAOAAAAZHJzL2Uyb0RvYy54bWytU0tu&#10;2zAQ3RfoHQjua8oy0gSC5QCp4W6KtkCaA9AUJRHgD0Paki/Q3qCrbrrvuXyODinVadNNFtFCImce&#10;38x7Q61vR6PJUUJQztZ0uSgokVa4Rtmupg9fdm9uKAmR24ZrZ2VNTzLQ283rV+vBV7J0vdONBIIk&#10;NlSDr2kfo68YC6KXhoeF89JisnVgeMQtdKwBPiC70awsirdscNB4cEKGgNHtlKQzIzyH0LWtEnLr&#10;xMFIGydWkJpHlBR65QPd5G7bVor4qW2DjETXFJXG/MYiuN6nN9usedUB970Scwv8OS080WS4slj0&#10;QrXlkZMDqP+ojBLggmvjQjjDJiHZEVSxLJ54c99zL7MWtDr4i+nh5WjFx+NnIKrBm0CJ5QYHfv7+&#10;7fzj1/nnV7Iskz+DDxXC7j0C43jnxoSd4wGDSfbYgklfFEQwj+6eLu7KMRKBwavV6qq8xpTA3LK4&#10;vilX2X/2eNxDiO+lMyQtago4vuwqP34IEUsi9A8kVQtOq2antM4b6PbvNJAjx1Hv8pO6xCP/wLRN&#10;YOvSsSmdIiyJnMSkVRz346xw75oTCj94UF2PPWXpGY4TyfTz7Ukj/3ufSR//mM1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O7pTyNcAAAAJAQAADwAAAAAAAAABACAAAAAiAAAAZHJzL2Rvd25yZXYu&#10;eG1sUEsBAhQAFAAAAAgAh07iQP5gStnDAQAAeQMAAA4AAAAAAAAAAQAgAAAAJg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79952A5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抗酸杆菌阴性（—）：连续观察300个不同视野，未发现抗酸杆菌。</w:t>
                      </w:r>
                    </w:p>
                    <w:p w14:paraId="7004316C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抗酸杆菌阳性（1+）：3～9条/100视野，连续观察300个视野；</w:t>
                      </w:r>
                    </w:p>
                    <w:p w14:paraId="6BE8DFE3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抗酸杆菌阳性（2+）：1～9条/10视野，连续观察100个视野；</w:t>
                      </w:r>
                    </w:p>
                    <w:p w14:paraId="5FE1F7C8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抗酸杆菌阳性（3+）：1～9条/1视野；</w:t>
                      </w:r>
                    </w:p>
                    <w:p w14:paraId="7AEB9848">
                      <w:pPr>
                        <w:spacing w:line="26" w:lineRule="atLeast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抗酸杆菌阳性（4+）：≥10条/1视野。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楷体"/>
          <w:bCs/>
          <w:sz w:val="24"/>
          <w:szCs w:val="24"/>
        </w:rPr>
        <w:t xml:space="preserve"> 结果分级报告标准：</w:t>
      </w:r>
    </w:p>
    <w:p w14:paraId="79D7A2FE">
      <w:pPr>
        <w:ind w:firstLine="480" w:firstLineChars="200"/>
        <w:jc w:val="left"/>
        <w:rPr>
          <w:rFonts w:ascii="宋体" w:hAnsi="宋体" w:cs="宋体"/>
          <w:bCs/>
          <w:sz w:val="24"/>
          <w:szCs w:val="24"/>
        </w:rPr>
      </w:pPr>
    </w:p>
    <w:p w14:paraId="2C9FA057">
      <w:pPr>
        <w:ind w:firstLine="480" w:firstLineChars="200"/>
        <w:jc w:val="left"/>
        <w:rPr>
          <w:rFonts w:ascii="宋体" w:hAnsi="宋体" w:cs="宋体"/>
          <w:bCs/>
          <w:sz w:val="24"/>
          <w:szCs w:val="24"/>
        </w:rPr>
      </w:pPr>
    </w:p>
    <w:p w14:paraId="7D1C16BF">
      <w:pPr>
        <w:ind w:firstLine="480" w:firstLineChars="200"/>
        <w:jc w:val="left"/>
        <w:rPr>
          <w:rFonts w:ascii="宋体" w:hAnsi="宋体" w:cs="宋体"/>
          <w:bCs/>
          <w:sz w:val="24"/>
          <w:szCs w:val="24"/>
        </w:rPr>
      </w:pPr>
    </w:p>
    <w:p w14:paraId="08415A5E">
      <w:pPr>
        <w:ind w:firstLine="480" w:firstLineChars="200"/>
        <w:jc w:val="left"/>
        <w:rPr>
          <w:rFonts w:ascii="宋体" w:hAnsi="宋体" w:cs="宋体"/>
          <w:bCs/>
          <w:sz w:val="24"/>
          <w:szCs w:val="24"/>
        </w:rPr>
      </w:pPr>
    </w:p>
    <w:p w14:paraId="4E971960">
      <w:pPr>
        <w:ind w:firstLine="480" w:firstLineChars="200"/>
        <w:jc w:val="left"/>
        <w:rPr>
          <w:rFonts w:ascii="宋体" w:hAnsi="宋体" w:cs="宋体"/>
          <w:bCs/>
          <w:sz w:val="24"/>
          <w:szCs w:val="24"/>
        </w:rPr>
      </w:pPr>
    </w:p>
    <w:p w14:paraId="4BF963E6">
      <w:pPr>
        <w:ind w:firstLine="480" w:firstLineChars="200"/>
        <w:jc w:val="left"/>
        <w:rPr>
          <w:rFonts w:ascii="宋体" w:hAnsi="宋体" w:cs="宋体"/>
          <w:bCs/>
          <w:sz w:val="24"/>
          <w:szCs w:val="24"/>
        </w:rPr>
      </w:pPr>
    </w:p>
    <w:p w14:paraId="6094ED2C">
      <w:pPr>
        <w:ind w:leftChars="200" w:firstLine="480" w:firstLineChars="200"/>
        <w:jc w:val="left"/>
        <w:rPr>
          <w:rFonts w:eastAsia="楷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⑵</w:t>
      </w:r>
      <w:r>
        <w:rPr>
          <w:rFonts w:eastAsia="楷体"/>
          <w:bCs/>
          <w:sz w:val="24"/>
          <w:szCs w:val="24"/>
        </w:rPr>
        <w:t xml:space="preserve"> 报告1+时至少观察300个视野，报告2+至少观察100个视野，3+、4</w:t>
      </w:r>
      <w:r>
        <w:rPr>
          <w:rFonts w:hint="eastAsia" w:eastAsia="楷体"/>
          <w:bCs/>
          <w:sz w:val="24"/>
          <w:szCs w:val="24"/>
        </w:rPr>
        <w:t>+</w:t>
      </w:r>
      <w:r>
        <w:rPr>
          <w:rFonts w:eastAsia="楷体"/>
          <w:bCs/>
          <w:sz w:val="24"/>
          <w:szCs w:val="24"/>
        </w:rPr>
        <w:t>时至少观察50个视野。</w:t>
      </w:r>
    </w:p>
    <w:p w14:paraId="4C5B9769">
      <w:pPr>
        <w:autoSpaceDE w:val="0"/>
        <w:autoSpaceDN w:val="0"/>
        <w:adjustRightInd w:val="0"/>
        <w:spacing w:line="360" w:lineRule="auto"/>
        <w:ind w:firstLine="482" w:firstLineChars="200"/>
        <w:jc w:val="left"/>
        <w:rPr>
          <w:b/>
          <w:color w:val="000000"/>
          <w:kern w:val="0"/>
          <w:sz w:val="24"/>
          <w:szCs w:val="24"/>
        </w:rPr>
      </w:pPr>
      <w:r>
        <w:rPr>
          <w:rFonts w:eastAsia="楷体"/>
          <w:b/>
          <w:sz w:val="24"/>
          <w:szCs w:val="24"/>
        </w:rPr>
        <w:t>2、荧光染色镜检结果分级报告标准：</w:t>
      </w:r>
    </w:p>
    <w:p w14:paraId="70CC7C98">
      <w:pPr>
        <w:spacing w:line="26" w:lineRule="atLeast"/>
        <w:ind w:leftChars="200" w:firstLine="480" w:firstLineChars="200"/>
        <w:jc w:val="left"/>
        <w:rPr>
          <w:rFonts w:eastAsia="楷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⑴</w:t>
      </w:r>
      <w:r>
        <w:rPr>
          <w:rFonts w:eastAsia="楷体"/>
          <w:bCs/>
          <w:sz w:val="24"/>
          <w:szCs w:val="24"/>
        </w:rPr>
        <w:t xml:space="preserve"> 结果分级报告标准：</w:t>
      </w:r>
    </w:p>
    <w:p w14:paraId="6FD4D12C">
      <w:pPr>
        <w:spacing w:line="26" w:lineRule="atLeast"/>
        <w:ind w:firstLine="360" w:firstLineChars="150"/>
        <w:jc w:val="left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46990</wp:posOffset>
                </wp:positionV>
                <wp:extent cx="4445635" cy="1085850"/>
                <wp:effectExtent l="0" t="0" r="12065" b="0"/>
                <wp:wrapNone/>
                <wp:docPr id="2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563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99F8FE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荧光染色抗酸杆菌阴性（—）：0条/50视野；</w:t>
                            </w:r>
                          </w:p>
                          <w:p w14:paraId="31F21406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荧光染色抗酸杆菌阳性(1+)：10～49条/50视野；</w:t>
                            </w:r>
                          </w:p>
                          <w:p w14:paraId="2EF6E54D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荧光染色抗酸杆菌阳性(2+)：1～9条抗酸菌/1视野；</w:t>
                            </w:r>
                          </w:p>
                          <w:p w14:paraId="50C77A83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荧光染色抗酸杆菌阳性(3+)：10～99条抗酸菌/1视野；</w:t>
                            </w:r>
                          </w:p>
                          <w:p w14:paraId="0FB3CEA2">
                            <w:pPr>
                              <w:spacing w:line="26" w:lineRule="atLeast"/>
                              <w:jc w:val="left"/>
                              <w:rPr>
                                <w:rFonts w:eastAsia="楷体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eastAsia="楷体"/>
                                <w:bCs/>
                                <w:sz w:val="24"/>
                                <w:szCs w:val="24"/>
                              </w:rPr>
                              <w:t>荧光染色抗酸杆菌阳性(4+)：100条及以上抗酸菌/1视野。</w:t>
                            </w:r>
                          </w:p>
                          <w:p w14:paraId="000AC491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32.25pt;margin-top:3.7pt;height:85.5pt;width:350.05pt;z-index:251660288;mso-width-relative:page;mso-height-relative:page;" fillcolor="#FFFFFF" filled="t" stroked="f" coordsize="21600,21600" o:gfxdata="UEsDBAoAAAAAAIdO4kAAAAAAAAAAAAAAAAAEAAAAZHJzL1BLAwQUAAAACACHTuJAX8CX49YAAAAI&#10;AQAADwAAAGRycy9kb3ducmV2LnhtbE2PQU7DMBBF90jcwZpKbBB1ilK7hDiVQAKxbekBnHiaRI3H&#10;Uew27e0ZVrAc/af/35Tbqx/EBafYBzKwWmYgkJrgemoNHL4/njYgYrLk7BAIDdwwwra6vytt4cJM&#10;O7zsUyu4hGJhDXQpjYWUsenQ27gMIxJnxzB5m/icWukmO3O5H+RzlinpbU+80NkR3ztsTvuzN3D8&#10;mh/XL3P9mQ56l6s32+s63Ix5WKyyVxAJr+kPhl99VoeKnepwJhfFYEDlayYN6BwEx1rlCkTNnN7k&#10;IKtS/n+g+gFQSwMEFAAAAAgAh07iQKHmqD/FAQAAeQMAAA4AAABkcnMvZTJvRG9jLnhtbK1TwY7T&#10;MBC9I/EPlu80bWlXVdR0paUqFwRICx/gOk5iyfZYHrdJfwD+gBMX7nxXv4Ox0+3CctnD5uDYM8/P&#10;897Y69vBGnZUATW4is8mU86Uk1Br11b865fdmxVnGIWrhQGnKn5SyG83r1+te1+qOXRgahUYkTgs&#10;e1/xLkZfFgXKTlmBE/DKUbKBYEWkZWiLOoie2K0p5tPpTdFDqH0AqRApuh2T/MIYnkMITaOl2oI8&#10;WOXiyBqUEZEkYac98k2utmmUjJ+aBlVkpuKkNOaRDqH5Po3FZi3KNgjfaXkpQTynhCearNCODr1S&#10;bUUU7BD0f1RWywAITZxIsMUoJDtCKmbTJ97cd8KrrIWsRn81HV+OVn48fg5M1xWfc+aEpYaff3w/&#10;//x9/vWNzRfJn95jSbB7T8A43MFAt+YhjhRMsocm2PQnQYzy5O7p6q4aIpMUXCwWy5u3S84k5WbT&#10;1XK1zP4Xj9t9wPhegWVpUvFA7cuuiuMHjFQKQR8g6TQEo+udNiYvQrt/ZwI7Cmr1Ln+pStryD8y4&#10;BHaQto3pFCmSyFFMmsVhP1yU76E+kfCDD7rtqKYsPcOpI5n+cntSy/9eZ9LHF7P5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F/Al+PWAAAACAEAAA8AAAAAAAAAAQAgAAAAIgAAAGRycy9kb3ducmV2&#10;LnhtbFBLAQIUABQAAAAIAIdO4kCh5qg/xQEAAHkDAAAOAAAAAAAAAAEAIAAAACU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499F8FE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荧光染色抗酸杆菌阴性（—）：0条/50视野；</w:t>
                      </w:r>
                    </w:p>
                    <w:p w14:paraId="31F21406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荧光染色抗酸杆菌阳性(1+)：10～49条/50视野；</w:t>
                      </w:r>
                    </w:p>
                    <w:p w14:paraId="2EF6E54D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荧光染色抗酸杆菌阳性(2+)：1～9条抗酸菌/1视野；</w:t>
                      </w:r>
                    </w:p>
                    <w:p w14:paraId="50C77A83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荧光染色抗酸杆菌阳性(3+)：10～99条抗酸菌/1视野；</w:t>
                      </w:r>
                    </w:p>
                    <w:p w14:paraId="0FB3CEA2">
                      <w:pPr>
                        <w:spacing w:line="26" w:lineRule="atLeast"/>
                        <w:jc w:val="left"/>
                        <w:rPr>
                          <w:rFonts w:eastAsia="楷体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eastAsia="楷体"/>
                          <w:bCs/>
                          <w:sz w:val="24"/>
                          <w:szCs w:val="24"/>
                        </w:rPr>
                        <w:t>荧光染色抗酸杆菌阳性(4+)：100条及以上抗酸菌/1视野。</w:t>
                      </w:r>
                    </w:p>
                    <w:p w14:paraId="000AC491"/>
                  </w:txbxContent>
                </v:textbox>
              </v:shape>
            </w:pict>
          </mc:Fallback>
        </mc:AlternateContent>
      </w:r>
    </w:p>
    <w:p w14:paraId="52696BDC">
      <w:pPr>
        <w:spacing w:line="26" w:lineRule="atLeast"/>
        <w:ind w:firstLine="360" w:firstLineChars="150"/>
        <w:jc w:val="left"/>
        <w:rPr>
          <w:rFonts w:ascii="宋体" w:hAnsi="宋体" w:cs="宋体"/>
          <w:bCs/>
          <w:sz w:val="24"/>
          <w:szCs w:val="24"/>
        </w:rPr>
      </w:pPr>
    </w:p>
    <w:p w14:paraId="766CFCF6">
      <w:pPr>
        <w:spacing w:line="26" w:lineRule="atLeast"/>
        <w:ind w:firstLine="360" w:firstLineChars="150"/>
        <w:jc w:val="left"/>
        <w:rPr>
          <w:rFonts w:ascii="宋体" w:hAnsi="宋体" w:cs="宋体"/>
          <w:bCs/>
          <w:sz w:val="24"/>
          <w:szCs w:val="24"/>
        </w:rPr>
      </w:pPr>
    </w:p>
    <w:p w14:paraId="57F99FCE">
      <w:pPr>
        <w:spacing w:line="26" w:lineRule="atLeast"/>
        <w:ind w:firstLine="360" w:firstLineChars="150"/>
        <w:jc w:val="left"/>
        <w:rPr>
          <w:rFonts w:ascii="宋体" w:hAnsi="宋体" w:cs="宋体"/>
          <w:bCs/>
          <w:sz w:val="24"/>
          <w:szCs w:val="24"/>
        </w:rPr>
      </w:pPr>
    </w:p>
    <w:p w14:paraId="74BF58C5">
      <w:pPr>
        <w:spacing w:line="26" w:lineRule="atLeast"/>
        <w:ind w:firstLine="360" w:firstLineChars="150"/>
        <w:jc w:val="left"/>
        <w:rPr>
          <w:rFonts w:ascii="宋体" w:hAnsi="宋体" w:cs="宋体"/>
          <w:bCs/>
          <w:sz w:val="24"/>
          <w:szCs w:val="24"/>
        </w:rPr>
      </w:pPr>
    </w:p>
    <w:p w14:paraId="6562F03A">
      <w:pPr>
        <w:spacing w:line="26" w:lineRule="atLeast"/>
        <w:ind w:firstLine="360" w:firstLineChars="150"/>
        <w:jc w:val="left"/>
        <w:rPr>
          <w:rFonts w:ascii="宋体" w:hAnsi="宋体" w:cs="宋体"/>
          <w:bCs/>
          <w:sz w:val="24"/>
          <w:szCs w:val="24"/>
        </w:rPr>
      </w:pPr>
    </w:p>
    <w:p w14:paraId="315BBFE6">
      <w:pPr>
        <w:spacing w:line="26" w:lineRule="atLeast"/>
        <w:ind w:leftChars="200" w:firstLine="480" w:firstLineChars="200"/>
        <w:jc w:val="left"/>
        <w:rPr>
          <w:rFonts w:eastAsia="楷体"/>
          <w:bCs/>
          <w:szCs w:val="21"/>
        </w:rPr>
      </w:pPr>
      <w:r>
        <w:rPr>
          <w:rFonts w:hint="eastAsia" w:ascii="宋体" w:hAnsi="宋体" w:cs="宋体"/>
          <w:bCs/>
          <w:sz w:val="24"/>
          <w:szCs w:val="24"/>
        </w:rPr>
        <w:t>⑵</w:t>
      </w:r>
      <w:r>
        <w:rPr>
          <w:rFonts w:eastAsia="楷体"/>
          <w:bCs/>
          <w:sz w:val="24"/>
          <w:szCs w:val="24"/>
        </w:rPr>
        <w:t xml:space="preserve"> 报告2</w:t>
      </w:r>
      <w:r>
        <w:rPr>
          <w:rFonts w:hint="eastAsia" w:eastAsia="楷体"/>
          <w:bCs/>
          <w:sz w:val="24"/>
          <w:szCs w:val="24"/>
        </w:rPr>
        <w:t>+</w:t>
      </w:r>
      <w:r>
        <w:rPr>
          <w:rFonts w:eastAsia="楷体"/>
          <w:bCs/>
          <w:sz w:val="24"/>
          <w:szCs w:val="24"/>
        </w:rPr>
        <w:t>至少观察50个视野，3+及以上的阳性结果至少观察20个视野</w:t>
      </w:r>
      <w:r>
        <w:rPr>
          <w:rFonts w:eastAsia="楷体"/>
          <w:bCs/>
          <w:szCs w:val="21"/>
        </w:rPr>
        <w:t>。</w:t>
      </w:r>
    </w:p>
    <w:p w14:paraId="27DDA064">
      <w:pPr>
        <w:spacing w:line="26" w:lineRule="atLeast"/>
        <w:ind w:firstLine="480"/>
        <w:jc w:val="left"/>
        <w:rPr>
          <w:rFonts w:eastAsia="楷体"/>
          <w:kern w:val="0"/>
          <w:sz w:val="24"/>
          <w:szCs w:val="24"/>
        </w:rPr>
      </w:pPr>
      <w:r>
        <w:rPr>
          <w:rFonts w:hint="eastAsia" w:eastAsia="楷体"/>
          <w:b/>
          <w:bCs/>
          <w:kern w:val="0"/>
          <w:sz w:val="24"/>
          <w:szCs w:val="24"/>
        </w:rPr>
        <w:t>3、不典型结果1</w:t>
      </w:r>
      <w:r>
        <w:rPr>
          <w:rFonts w:eastAsia="楷体"/>
          <w:b/>
          <w:bCs/>
          <w:kern w:val="0"/>
          <w:sz w:val="24"/>
          <w:szCs w:val="24"/>
        </w:rPr>
        <w:t>-2</w:t>
      </w:r>
      <w:r>
        <w:rPr>
          <w:rFonts w:hint="eastAsia" w:eastAsia="楷体"/>
          <w:b/>
          <w:bCs/>
          <w:kern w:val="0"/>
          <w:sz w:val="24"/>
          <w:szCs w:val="24"/>
        </w:rPr>
        <w:t>条/</w:t>
      </w:r>
      <w:r>
        <w:rPr>
          <w:rFonts w:eastAsia="楷体"/>
          <w:b/>
          <w:bCs/>
          <w:kern w:val="0"/>
          <w:sz w:val="24"/>
          <w:szCs w:val="24"/>
        </w:rPr>
        <w:t>100</w:t>
      </w:r>
      <w:r>
        <w:rPr>
          <w:rFonts w:hint="eastAsia" w:eastAsia="楷体"/>
          <w:b/>
          <w:bCs/>
          <w:kern w:val="0"/>
          <w:sz w:val="24"/>
          <w:szCs w:val="24"/>
        </w:rPr>
        <w:t>视野不必按阳性报告。</w:t>
      </w:r>
    </w:p>
    <w:p w14:paraId="7C5EDAE4">
      <w:pPr>
        <w:spacing w:line="26" w:lineRule="atLeast"/>
        <w:ind w:firstLine="480"/>
        <w:jc w:val="left"/>
        <w:rPr>
          <w:rFonts w:eastAsia="楷体"/>
          <w:kern w:val="0"/>
          <w:sz w:val="24"/>
          <w:szCs w:val="24"/>
        </w:rPr>
      </w:pPr>
      <w:r>
        <w:rPr>
          <w:rFonts w:hint="eastAsia" w:eastAsia="楷体"/>
          <w:b/>
          <w:bCs/>
          <w:kern w:val="0"/>
          <w:sz w:val="24"/>
          <w:szCs w:val="24"/>
        </w:rPr>
        <w:t>4、涂片找到</w:t>
      </w:r>
      <w:r>
        <w:rPr>
          <w:rFonts w:eastAsia="楷体"/>
          <w:b/>
          <w:bCs/>
          <w:sz w:val="24"/>
          <w:szCs w:val="24"/>
        </w:rPr>
        <w:t>抗酸</w:t>
      </w:r>
      <w:r>
        <w:rPr>
          <w:rFonts w:hint="eastAsia" w:eastAsia="楷体"/>
          <w:b/>
          <w:bCs/>
          <w:sz w:val="24"/>
          <w:szCs w:val="24"/>
        </w:rPr>
        <w:t>杆</w:t>
      </w:r>
      <w:r>
        <w:rPr>
          <w:rFonts w:eastAsia="楷体"/>
          <w:b/>
          <w:bCs/>
          <w:sz w:val="24"/>
          <w:szCs w:val="24"/>
        </w:rPr>
        <w:t>菌</w:t>
      </w:r>
      <w:r>
        <w:rPr>
          <w:rFonts w:hint="eastAsia" w:eastAsia="楷体"/>
          <w:b/>
          <w:bCs/>
          <w:kern w:val="0"/>
          <w:sz w:val="24"/>
          <w:szCs w:val="24"/>
        </w:rPr>
        <w:t>只按单条菌的数量报告，成团块的菌不计算在内。</w:t>
      </w:r>
    </w:p>
    <w:p w14:paraId="270408F4">
      <w:pPr>
        <w:spacing w:after="120"/>
        <w:jc w:val="left"/>
        <w:rPr>
          <w:rFonts w:ascii="宋体" w:hAnsi="宋体"/>
          <w:sz w:val="24"/>
        </w:rPr>
      </w:pPr>
    </w:p>
    <w:p w14:paraId="3BBDCE78">
      <w:pPr>
        <w:spacing w:line="26" w:lineRule="atLeast"/>
        <w:ind w:firstLine="482" w:firstLineChars="200"/>
        <w:jc w:val="left"/>
        <w:rPr>
          <w:rFonts w:eastAsia="楷体"/>
          <w:b/>
          <w:sz w:val="24"/>
          <w:szCs w:val="24"/>
        </w:rPr>
      </w:pPr>
      <w:r>
        <w:rPr>
          <w:rFonts w:hint="eastAsia" w:eastAsia="楷体"/>
          <w:b/>
          <w:sz w:val="24"/>
          <w:szCs w:val="24"/>
        </w:rPr>
        <w:t xml:space="preserve"> 三、填报注意事项</w:t>
      </w:r>
    </w:p>
    <w:p w14:paraId="1B709A6B">
      <w:pPr>
        <w:spacing w:after="120" w:line="360" w:lineRule="auto"/>
        <w:ind w:firstLine="590" w:firstLineChars="245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请注意：请需要</w:t>
      </w:r>
      <w:r>
        <w:rPr>
          <w:rFonts w:hint="eastAsia" w:ascii="宋体" w:hAnsi="宋体"/>
          <w:b/>
          <w:color w:val="FF0000"/>
          <w:sz w:val="24"/>
        </w:rPr>
        <w:t>根据样本盒上大编码选择</w:t>
      </w:r>
      <w:r>
        <w:rPr>
          <w:rFonts w:hint="eastAsia" w:ascii="宋体" w:hAnsi="宋体"/>
          <w:b/>
          <w:sz w:val="24"/>
        </w:rPr>
        <w:t>对应的5个批次的上报口，其他批次空着即可。</w:t>
      </w:r>
    </w:p>
    <w:p w14:paraId="114DB39B">
      <w:pPr>
        <w:spacing w:after="120" w:line="360" w:lineRule="auto"/>
        <w:ind w:firstLine="590" w:firstLineChars="245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样本大编号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 xml:space="preserve"> </w:t>
      </w:r>
      <w:r>
        <w:rPr>
          <w:rFonts w:ascii="宋体" w:hAnsi="宋体"/>
          <w:b/>
          <w:color w:val="FF0000"/>
          <w:sz w:val="24"/>
        </w:rPr>
        <w:t>0</w:t>
      </w:r>
      <w:r>
        <w:rPr>
          <w:rFonts w:hint="eastAsia" w:ascii="宋体" w:hAnsi="宋体"/>
          <w:b/>
          <w:color w:val="FF0000"/>
          <w:sz w:val="24"/>
        </w:rPr>
        <w:t>01-0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50</w:t>
      </w:r>
      <w:r>
        <w:rPr>
          <w:rFonts w:ascii="宋体" w:hAnsi="宋体"/>
          <w:b/>
          <w:sz w:val="24"/>
        </w:rPr>
        <w:t xml:space="preserve"> 对应上报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hint="eastAsia" w:ascii="宋体" w:hAnsi="宋体"/>
          <w:b/>
          <w:sz w:val="24"/>
        </w:rPr>
        <w:t>01-</w:t>
      </w:r>
      <w:r>
        <w:rPr>
          <w:rFonts w:hint="eastAsia" w:ascii="宋体" w:hAnsi="宋体"/>
          <w:b/>
          <w:sz w:val="24"/>
          <w:lang w:val="en-US" w:eastAsia="zh-CN"/>
        </w:rPr>
        <w:t>205</w:t>
      </w:r>
      <w:r>
        <w:rPr>
          <w:rFonts w:hint="eastAsia" w:ascii="宋体" w:hAnsi="宋体"/>
          <w:b/>
          <w:sz w:val="24"/>
        </w:rPr>
        <w:t>；样本大编号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 xml:space="preserve"> </w:t>
      </w:r>
      <w:r>
        <w:rPr>
          <w:rFonts w:ascii="宋体" w:hAnsi="宋体"/>
          <w:b/>
          <w:color w:val="FF0000"/>
          <w:sz w:val="24"/>
        </w:rPr>
        <w:t>0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51</w:t>
      </w:r>
      <w:r>
        <w:rPr>
          <w:rFonts w:ascii="宋体" w:hAnsi="宋体"/>
          <w:b/>
          <w:color w:val="FF0000"/>
          <w:sz w:val="24"/>
        </w:rPr>
        <w:t>-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100</w:t>
      </w:r>
      <w:r>
        <w:rPr>
          <w:rFonts w:ascii="宋体" w:hAnsi="宋体"/>
          <w:b/>
          <w:sz w:val="24"/>
        </w:rPr>
        <w:t xml:space="preserve"> 对应上报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>06-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r>
        <w:rPr>
          <w:rFonts w:ascii="宋体" w:hAnsi="宋体"/>
          <w:b/>
          <w:sz w:val="24"/>
        </w:rPr>
        <w:t>10；</w:t>
      </w:r>
      <w:r>
        <w:rPr>
          <w:rFonts w:hint="eastAsia" w:ascii="宋体" w:hAnsi="宋体"/>
          <w:b/>
          <w:sz w:val="24"/>
        </w:rPr>
        <w:t xml:space="preserve">样本大编号 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10</w:t>
      </w:r>
      <w:r>
        <w:rPr>
          <w:rFonts w:ascii="宋体" w:hAnsi="宋体"/>
          <w:b/>
          <w:color w:val="FF0000"/>
          <w:sz w:val="24"/>
        </w:rPr>
        <w:t>1-1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5</w:t>
      </w:r>
      <w:r>
        <w:rPr>
          <w:rFonts w:ascii="宋体" w:hAnsi="宋体"/>
          <w:b/>
          <w:color w:val="FF0000"/>
          <w:sz w:val="24"/>
        </w:rPr>
        <w:t>0</w:t>
      </w:r>
      <w:r>
        <w:rPr>
          <w:rFonts w:ascii="宋体" w:hAnsi="宋体"/>
          <w:b/>
          <w:sz w:val="24"/>
        </w:rPr>
        <w:t xml:space="preserve"> 对应上报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>11-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r>
        <w:rPr>
          <w:rFonts w:ascii="宋体" w:hAnsi="宋体"/>
          <w:b/>
          <w:sz w:val="24"/>
        </w:rPr>
        <w:t>15；</w:t>
      </w:r>
      <w:r>
        <w:rPr>
          <w:rFonts w:hint="eastAsia" w:ascii="宋体" w:hAnsi="宋体"/>
          <w:b/>
          <w:sz w:val="24"/>
        </w:rPr>
        <w:t xml:space="preserve">样本大编号 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 xml:space="preserve"> </w:t>
      </w:r>
      <w:r>
        <w:rPr>
          <w:rFonts w:ascii="宋体" w:hAnsi="宋体"/>
          <w:b/>
          <w:color w:val="FF0000"/>
          <w:sz w:val="24"/>
        </w:rPr>
        <w:t>1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5</w:t>
      </w:r>
      <w:r>
        <w:rPr>
          <w:rFonts w:ascii="宋体" w:hAnsi="宋体"/>
          <w:b/>
          <w:color w:val="FF0000"/>
          <w:sz w:val="24"/>
        </w:rPr>
        <w:t>1-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</w:t>
      </w:r>
      <w:r>
        <w:rPr>
          <w:rFonts w:ascii="宋体" w:hAnsi="宋体"/>
          <w:b/>
          <w:color w:val="FF0000"/>
          <w:sz w:val="24"/>
        </w:rPr>
        <w:t>0</w:t>
      </w:r>
      <w:r>
        <w:rPr>
          <w:rFonts w:ascii="宋体" w:hAnsi="宋体"/>
          <w:b/>
          <w:sz w:val="24"/>
        </w:rPr>
        <w:t>对应上报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>16-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r>
        <w:rPr>
          <w:rFonts w:ascii="宋体" w:hAnsi="宋体"/>
          <w:b/>
          <w:sz w:val="24"/>
        </w:rPr>
        <w:t>20；</w:t>
      </w:r>
      <w:r>
        <w:rPr>
          <w:rFonts w:hint="eastAsia" w:ascii="宋体" w:hAnsi="宋体"/>
          <w:b/>
          <w:sz w:val="24"/>
        </w:rPr>
        <w:t xml:space="preserve">样本大编号 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20</w:t>
      </w:r>
      <w:r>
        <w:rPr>
          <w:rFonts w:ascii="宋体" w:hAnsi="宋体"/>
          <w:b/>
          <w:color w:val="FF0000"/>
          <w:sz w:val="24"/>
        </w:rPr>
        <w:t>1-2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5</w:t>
      </w:r>
      <w:r>
        <w:rPr>
          <w:rFonts w:ascii="宋体" w:hAnsi="宋体"/>
          <w:b/>
          <w:color w:val="FF0000"/>
          <w:sz w:val="24"/>
        </w:rPr>
        <w:t>0</w:t>
      </w:r>
      <w:r>
        <w:rPr>
          <w:rFonts w:ascii="宋体" w:hAnsi="宋体"/>
          <w:b/>
          <w:sz w:val="24"/>
        </w:rPr>
        <w:t>对应上报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>21-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r>
        <w:rPr>
          <w:rFonts w:ascii="宋体" w:hAnsi="宋体"/>
          <w:b/>
          <w:sz w:val="24"/>
        </w:rPr>
        <w:t>25。</w:t>
      </w:r>
    </w:p>
    <w:p w14:paraId="4E72FCA3">
      <w:pPr>
        <w:spacing w:after="120"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例如：样本包装盒上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 xml:space="preserve"> </w:t>
      </w:r>
      <w:r>
        <w:rPr>
          <w:rFonts w:ascii="宋体" w:hAnsi="宋体"/>
          <w:b/>
          <w:color w:val="FF0000"/>
          <w:sz w:val="24"/>
        </w:rPr>
        <w:t>001-0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5</w:t>
      </w:r>
      <w:r>
        <w:rPr>
          <w:rFonts w:ascii="宋体" w:hAnsi="宋体"/>
          <w:b/>
          <w:color w:val="FF0000"/>
          <w:sz w:val="24"/>
        </w:rPr>
        <w:t>0</w:t>
      </w:r>
      <w:r>
        <w:rPr>
          <w:rFonts w:hint="eastAsia" w:ascii="宋体" w:hAnsi="宋体"/>
          <w:b/>
          <w:sz w:val="24"/>
        </w:rPr>
        <w:t>请选择</w:t>
      </w:r>
      <w:r>
        <w:rPr>
          <w:rFonts w:hint="eastAsia" w:ascii="宋体" w:hAnsi="宋体"/>
          <w:b/>
          <w:sz w:val="24"/>
          <w:lang w:eastAsia="zh-CN"/>
        </w:rPr>
        <w:t>202602</w:t>
      </w:r>
      <w:r>
        <w:rPr>
          <w:rFonts w:ascii="宋体" w:hAnsi="宋体"/>
          <w:b/>
          <w:sz w:val="24"/>
        </w:rPr>
        <w:t>01-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r>
        <w:rPr>
          <w:rFonts w:ascii="宋体" w:hAnsi="宋体"/>
          <w:b/>
          <w:sz w:val="24"/>
        </w:rPr>
        <w:t>05</w:t>
      </w:r>
      <w:r>
        <w:rPr>
          <w:rFonts w:hint="eastAsia" w:ascii="宋体" w:hAnsi="宋体"/>
          <w:b/>
          <w:sz w:val="24"/>
        </w:rPr>
        <w:t>填报，其他批次空着，结果</w:t>
      </w:r>
      <w:bookmarkStart w:id="0" w:name="_GoBack"/>
      <w:bookmarkEnd w:id="0"/>
      <w:r>
        <w:rPr>
          <w:rFonts w:hint="eastAsia" w:ascii="宋体" w:hAnsi="宋体"/>
          <w:b/>
          <w:sz w:val="24"/>
        </w:rPr>
        <w:t>填写完毕上传即可。</w:t>
      </w:r>
    </w:p>
    <w:p w14:paraId="1C87B612">
      <w:pPr>
        <w:spacing w:after="120"/>
        <w:jc w:val="left"/>
        <w:rPr>
          <w:rFonts w:ascii="宋体" w:hAnsi="宋体"/>
          <w:b/>
          <w:sz w:val="24"/>
        </w:rPr>
      </w:pPr>
    </w:p>
    <w:p w14:paraId="04DC24DA">
      <w:pPr>
        <w:spacing w:after="120"/>
        <w:jc w:val="left"/>
        <w:rPr>
          <w:rFonts w:ascii="宋体" w:hAnsi="宋体"/>
          <w:sz w:val="24"/>
        </w:rPr>
      </w:pPr>
    </w:p>
    <w:sectPr>
      <w:headerReference r:id="rId3" w:type="default"/>
      <w:pgSz w:w="16838" w:h="11906" w:orient="landscape"/>
      <w:pgMar w:top="567" w:right="1440" w:bottom="0" w:left="1440" w:header="28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FB49E">
    <w:pPr>
      <w:pStyle w:val="4"/>
      <w:pBdr>
        <w:bottom w:val="none" w:color="auto" w:sz="0" w:space="0"/>
      </w:pBdr>
      <w:rPr>
        <w:rFonts w:ascii="楷体" w:hAnsi="楷体" w:eastAsia="楷体"/>
        <w:sz w:val="21"/>
        <w:szCs w:val="21"/>
      </w:rPr>
    </w:pPr>
    <w:r>
      <w:rPr>
        <w:rFonts w:hint="eastAsia" w:ascii="楷体" w:hAnsi="楷体" w:eastAsia="楷体"/>
        <w:sz w:val="21"/>
        <w:szCs w:val="21"/>
      </w:rPr>
      <w:t>安徽省临床检验中心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639C5"/>
    <w:multiLevelType w:val="multilevel"/>
    <w:tmpl w:val="1E3639C5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9E84CCE"/>
    <w:multiLevelType w:val="singleLevel"/>
    <w:tmpl w:val="59E84CC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B647F4C"/>
    <w:multiLevelType w:val="multilevel"/>
    <w:tmpl w:val="7B647F4C"/>
    <w:lvl w:ilvl="0" w:tentative="0">
      <w:start w:val="1"/>
      <w:numFmt w:val="decimalEnclosedParen"/>
      <w:lvlText w:val="%1"/>
      <w:lvlJc w:val="left"/>
      <w:pPr>
        <w:tabs>
          <w:tab w:val="left" w:pos="420"/>
        </w:tabs>
        <w:ind w:left="1260" w:hanging="360"/>
      </w:pPr>
      <w:rPr>
        <w:rFonts w:hint="default" w:ascii="宋体" w:hAnsi="宋体" w:eastAsia="宋体" w:cs="宋体"/>
      </w:rPr>
    </w:lvl>
    <w:lvl w:ilvl="1" w:tentative="0">
      <w:start w:val="1"/>
      <w:numFmt w:val="lowerLetter"/>
      <w:lvlText w:val="%2)"/>
      <w:lvlJc w:val="left"/>
      <w:pPr>
        <w:tabs>
          <w:tab w:val="left" w:pos="420"/>
        </w:tabs>
        <w:ind w:left="17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160" w:hanging="42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25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20"/>
        </w:tabs>
        <w:ind w:left="30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3420" w:hanging="42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38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0"/>
        </w:tabs>
        <w:ind w:left="42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46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DC"/>
    <w:rsid w:val="000377AE"/>
    <w:rsid w:val="00053453"/>
    <w:rsid w:val="000A1EA1"/>
    <w:rsid w:val="000D715A"/>
    <w:rsid w:val="000E1578"/>
    <w:rsid w:val="000E74F4"/>
    <w:rsid w:val="000F01D6"/>
    <w:rsid w:val="000F5E9B"/>
    <w:rsid w:val="00102CCD"/>
    <w:rsid w:val="001135C6"/>
    <w:rsid w:val="00114A23"/>
    <w:rsid w:val="00145439"/>
    <w:rsid w:val="00175955"/>
    <w:rsid w:val="00194F45"/>
    <w:rsid w:val="001C4855"/>
    <w:rsid w:val="00205916"/>
    <w:rsid w:val="002060B4"/>
    <w:rsid w:val="00221E66"/>
    <w:rsid w:val="0022755C"/>
    <w:rsid w:val="0026428E"/>
    <w:rsid w:val="00267779"/>
    <w:rsid w:val="002761F1"/>
    <w:rsid w:val="002D7F69"/>
    <w:rsid w:val="00314897"/>
    <w:rsid w:val="00377346"/>
    <w:rsid w:val="00382B27"/>
    <w:rsid w:val="00383267"/>
    <w:rsid w:val="003A2F53"/>
    <w:rsid w:val="003A33DA"/>
    <w:rsid w:val="003B222B"/>
    <w:rsid w:val="003C4A0A"/>
    <w:rsid w:val="003F29D5"/>
    <w:rsid w:val="00442612"/>
    <w:rsid w:val="00444757"/>
    <w:rsid w:val="00451540"/>
    <w:rsid w:val="004642E5"/>
    <w:rsid w:val="004A5F45"/>
    <w:rsid w:val="004E1879"/>
    <w:rsid w:val="004E6484"/>
    <w:rsid w:val="004F1792"/>
    <w:rsid w:val="00507A3B"/>
    <w:rsid w:val="005207E6"/>
    <w:rsid w:val="005462FB"/>
    <w:rsid w:val="005F41B2"/>
    <w:rsid w:val="005F4FA1"/>
    <w:rsid w:val="006063DC"/>
    <w:rsid w:val="00637093"/>
    <w:rsid w:val="00674B58"/>
    <w:rsid w:val="006A6E82"/>
    <w:rsid w:val="006B69A2"/>
    <w:rsid w:val="006E4C4A"/>
    <w:rsid w:val="006E588D"/>
    <w:rsid w:val="006E7F2A"/>
    <w:rsid w:val="00726097"/>
    <w:rsid w:val="00741B5A"/>
    <w:rsid w:val="00742755"/>
    <w:rsid w:val="00744A19"/>
    <w:rsid w:val="00767FAF"/>
    <w:rsid w:val="00796EAA"/>
    <w:rsid w:val="007A54C7"/>
    <w:rsid w:val="007B2FAD"/>
    <w:rsid w:val="007B30CD"/>
    <w:rsid w:val="007C1879"/>
    <w:rsid w:val="008155D9"/>
    <w:rsid w:val="00835442"/>
    <w:rsid w:val="008B7581"/>
    <w:rsid w:val="008C6287"/>
    <w:rsid w:val="00946169"/>
    <w:rsid w:val="00956198"/>
    <w:rsid w:val="009816AA"/>
    <w:rsid w:val="0098689B"/>
    <w:rsid w:val="00A21EF1"/>
    <w:rsid w:val="00A223BF"/>
    <w:rsid w:val="00A83C42"/>
    <w:rsid w:val="00A84418"/>
    <w:rsid w:val="00A979EE"/>
    <w:rsid w:val="00AC0508"/>
    <w:rsid w:val="00AC1578"/>
    <w:rsid w:val="00B260D1"/>
    <w:rsid w:val="00B55BC4"/>
    <w:rsid w:val="00BC3C48"/>
    <w:rsid w:val="00BF1AEE"/>
    <w:rsid w:val="00BF6545"/>
    <w:rsid w:val="00C10319"/>
    <w:rsid w:val="00C834F0"/>
    <w:rsid w:val="00CB109F"/>
    <w:rsid w:val="00CD3378"/>
    <w:rsid w:val="00D0423E"/>
    <w:rsid w:val="00D64631"/>
    <w:rsid w:val="00DB4B5B"/>
    <w:rsid w:val="00DB544B"/>
    <w:rsid w:val="00DC03D7"/>
    <w:rsid w:val="00DD57FC"/>
    <w:rsid w:val="00DE622F"/>
    <w:rsid w:val="00DF0014"/>
    <w:rsid w:val="00E30989"/>
    <w:rsid w:val="00E6287E"/>
    <w:rsid w:val="00E72DD6"/>
    <w:rsid w:val="00EE51EE"/>
    <w:rsid w:val="00F016F4"/>
    <w:rsid w:val="00FB4A94"/>
    <w:rsid w:val="3DFF7A35"/>
    <w:rsid w:val="3EDF243F"/>
    <w:rsid w:val="4CDC3826"/>
    <w:rsid w:val="527C27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6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ask-title"/>
    <w:basedOn w:val="6"/>
    <w:qFormat/>
    <w:uiPriority w:val="0"/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2</Pages>
  <Words>796</Words>
  <Characters>1238</Characters>
  <Lines>10</Lines>
  <Paragraphs>2</Paragraphs>
  <TotalTime>33</TotalTime>
  <ScaleCrop>false</ScaleCrop>
  <LinksUpToDate>false</LinksUpToDate>
  <CharactersWithSpaces>1264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2023-07-10T02:04:00Z</dcterms:created>
  <dc:creator>Administrator</dc:creator>
  <cp:lastModifiedBy>比较笨的大笨钟</cp:lastModifiedBy>
  <dcterms:modified xsi:type="dcterms:W3CDTF">2026-10-13T01:38:24Z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eyJoZGlkIjoiMTcxMDdkYmU1YWVhNzdkYzJlODQ2NDJkZmJjMGE4NzkiLCJ1c2VySWQiOiIyNjE2ODMyMzkifQ==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09117F4A3A1D4BE0A9EADE3410B61780_13</vt:lpwstr>
  </property>
</Properties>
</file>